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BE04CB" w:rsidP="00BB5468">
            <w:pPr>
              <w:jc w:val="center"/>
              <w:rPr>
                <w:rFonts w:ascii="Tahoma" w:hAnsi="Tahoma" w:cs="Tahoma"/>
                <w:b/>
                <w:sz w:val="24"/>
                <w:szCs w:val="24"/>
              </w:rPr>
            </w:pPr>
            <w:r>
              <w:rPr>
                <w:rFonts w:ascii="Tahoma" w:hAnsi="Tahoma" w:cs="Tahoma"/>
                <w:b/>
                <w:sz w:val="24"/>
                <w:szCs w:val="24"/>
              </w:rPr>
              <w:t>Ortaokul</w:t>
            </w:r>
            <w:r w:rsidR="001905B0" w:rsidRPr="001905B0">
              <w:rPr>
                <w:rFonts w:ascii="Tahoma" w:hAnsi="Tahoma" w:cs="Tahoma"/>
                <w:b/>
                <w:sz w:val="24"/>
                <w:szCs w:val="24"/>
              </w:rPr>
              <w:t xml:space="preserve"> </w:t>
            </w:r>
            <w:r w:rsidR="00BB5468">
              <w:rPr>
                <w:rFonts w:ascii="Tahoma" w:hAnsi="Tahoma" w:cs="Tahoma"/>
                <w:b/>
                <w:sz w:val="24"/>
                <w:szCs w:val="24"/>
              </w:rPr>
              <w:t>Din Kültürü ve Ahlak Bilgisi</w:t>
            </w:r>
            <w:r w:rsidR="001905B0"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BB5468" w:rsidRPr="00BE04CB" w:rsidRDefault="00BE04CB" w:rsidP="00BE04CB">
            <w:pPr>
              <w:ind w:left="360"/>
              <w:rPr>
                <w:rFonts w:ascii="Tahoma" w:hAnsi="Tahoma" w:cs="Tahoma"/>
                <w:sz w:val="20"/>
                <w:szCs w:val="20"/>
              </w:rPr>
            </w:pPr>
            <w:r w:rsidRPr="00BE04CB">
              <w:rPr>
                <w:rFonts w:ascii="Tahoma" w:hAnsi="Tahoma" w:cs="Tahoma"/>
                <w:sz w:val="20"/>
                <w:szCs w:val="20"/>
              </w:rPr>
              <w:t>Yeni programın felsefesi, anlam arayışı ve dinî okuryazarlık ekseninde şekillenmektedir. Bilimsel ve teknolojik gelişmelerin, bilgi ve değer hiyerarşisinde yarattığı dönüşümü dikkate alan program; öğrencilere eleştirel düşünme, sorgulama, tutarlılık ve geçerlilik arama becerileri kazandırmayı hedeflemektedir. Bu sayede, öğrenciler inanç ve değerlerini 21. yüzyılın gerektirdiği becerilerle harmanlayarak anlamlı bir hayat inşa etme yolunda ilerleyecektir.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BE04CB" w:rsidRPr="00BE04CB" w:rsidRDefault="00BE04CB" w:rsidP="00BE04CB">
            <w:pPr>
              <w:rPr>
                <w:rFonts w:ascii="Tahoma" w:hAnsi="Tahoma" w:cs="Tahoma"/>
                <w:sz w:val="20"/>
                <w:szCs w:val="20"/>
              </w:rPr>
            </w:pPr>
            <w:r w:rsidRPr="00BE04CB">
              <w:rPr>
                <w:rFonts w:ascii="Tahoma" w:hAnsi="Tahoma" w:cs="Tahoma"/>
                <w:sz w:val="20"/>
                <w:szCs w:val="20"/>
              </w:rPr>
              <w:t>Yeni programda ünitelerin sıralaması, öğrencilerin gelişimsel özelliklerini daha iyi dikkate alan bir yapı sergilemektedir. Konular, basitten karmaşığa, somuttan soyuta doğru ilerleyen bir düzen içinde sunulmaktadır. Eski programda bazı konuların tekrar edilmesi veya erken yaşlarda ele alınması gibi durumlar, yeni programda giderilmiştir.</w:t>
            </w:r>
          </w:p>
          <w:p w:rsidR="00BE04CB" w:rsidRPr="00BE04CB" w:rsidRDefault="00BE04CB" w:rsidP="00BE04CB">
            <w:pPr>
              <w:rPr>
                <w:rFonts w:ascii="Tahoma" w:hAnsi="Tahoma" w:cs="Tahoma"/>
                <w:b/>
                <w:sz w:val="20"/>
                <w:szCs w:val="20"/>
              </w:rPr>
            </w:pPr>
            <w:r w:rsidRPr="00BE04CB">
              <w:rPr>
                <w:rFonts w:ascii="Tahoma" w:hAnsi="Tahoma" w:cs="Tahoma"/>
                <w:b/>
                <w:sz w:val="20"/>
                <w:szCs w:val="20"/>
              </w:rPr>
              <w:t>Önceki programa göre temel farklılıklar:</w:t>
            </w:r>
          </w:p>
          <w:p w:rsidR="00BE04CB" w:rsidRPr="00BE04CB" w:rsidRDefault="00BE04CB" w:rsidP="00BE04CB">
            <w:pPr>
              <w:pStyle w:val="ListeParagraf"/>
              <w:numPr>
                <w:ilvl w:val="0"/>
                <w:numId w:val="42"/>
              </w:numPr>
              <w:rPr>
                <w:rFonts w:ascii="Tahoma" w:hAnsi="Tahoma" w:cs="Tahoma"/>
                <w:sz w:val="20"/>
                <w:szCs w:val="20"/>
              </w:rPr>
            </w:pPr>
            <w:r w:rsidRPr="00BE04CB">
              <w:rPr>
                <w:rFonts w:ascii="Tahoma" w:hAnsi="Tahoma" w:cs="Tahoma"/>
                <w:b/>
                <w:sz w:val="20"/>
                <w:szCs w:val="20"/>
              </w:rPr>
              <w:t>Spiral yaklaşım:</w:t>
            </w:r>
            <w:r w:rsidRPr="00BE04CB">
              <w:rPr>
                <w:rFonts w:ascii="Tahoma" w:hAnsi="Tahoma" w:cs="Tahoma"/>
                <w:sz w:val="20"/>
                <w:szCs w:val="20"/>
              </w:rPr>
              <w:t xml:space="preserve"> Bir konu, farklı sınıf düzeylerinde öğrencilerin gelişimine uygun şekilde tekrar ele alınarak pekiştirilmektedir.</w:t>
            </w:r>
          </w:p>
          <w:p w:rsidR="00BE04CB" w:rsidRPr="00BE04CB" w:rsidRDefault="00BE04CB" w:rsidP="00BE04CB">
            <w:pPr>
              <w:pStyle w:val="ListeParagraf"/>
              <w:numPr>
                <w:ilvl w:val="0"/>
                <w:numId w:val="42"/>
              </w:numPr>
              <w:rPr>
                <w:rFonts w:ascii="Tahoma" w:hAnsi="Tahoma" w:cs="Tahoma"/>
                <w:sz w:val="20"/>
                <w:szCs w:val="20"/>
              </w:rPr>
            </w:pPr>
            <w:r w:rsidRPr="00BE04CB">
              <w:rPr>
                <w:rFonts w:ascii="Tahoma" w:hAnsi="Tahoma" w:cs="Tahoma"/>
                <w:b/>
                <w:sz w:val="20"/>
                <w:szCs w:val="20"/>
              </w:rPr>
              <w:t>Bütüncül bakış açısı:</w:t>
            </w:r>
            <w:r w:rsidRPr="00BE04CB">
              <w:rPr>
                <w:rFonts w:ascii="Tahoma" w:hAnsi="Tahoma" w:cs="Tahoma"/>
                <w:sz w:val="20"/>
                <w:szCs w:val="20"/>
              </w:rPr>
              <w:t xml:space="preserve"> İslam dini, inanç, ibadet ve ahlak esasları bütüncül bir bakış açısıyla ele alınmaktadır.</w:t>
            </w:r>
          </w:p>
          <w:p w:rsidR="00597EB1" w:rsidRPr="00BE04CB" w:rsidRDefault="00BE04CB" w:rsidP="00BE04CB">
            <w:pPr>
              <w:pStyle w:val="ListeParagraf"/>
              <w:numPr>
                <w:ilvl w:val="0"/>
                <w:numId w:val="42"/>
              </w:numPr>
              <w:rPr>
                <w:rFonts w:ascii="Tahoma" w:hAnsi="Tahoma" w:cs="Tahoma"/>
                <w:sz w:val="20"/>
                <w:szCs w:val="20"/>
              </w:rPr>
            </w:pPr>
            <w:r w:rsidRPr="00BE04CB">
              <w:rPr>
                <w:rFonts w:ascii="Tahoma" w:hAnsi="Tahoma" w:cs="Tahoma"/>
                <w:b/>
                <w:sz w:val="20"/>
                <w:szCs w:val="20"/>
              </w:rPr>
              <w:t>Güncel konulara yer verme:</w:t>
            </w:r>
            <w:r w:rsidRPr="00BE04CB">
              <w:rPr>
                <w:rFonts w:ascii="Tahoma" w:hAnsi="Tahoma" w:cs="Tahoma"/>
                <w:sz w:val="20"/>
                <w:szCs w:val="20"/>
              </w:rPr>
              <w:t xml:space="preserve"> Teknoloji, sosyal medya, çevre sorunları gibi güncel konular ders içeriklerine </w:t>
            </w:r>
            <w:proofErr w:type="gramStart"/>
            <w:r w:rsidRPr="00BE04CB">
              <w:rPr>
                <w:rFonts w:ascii="Tahoma" w:hAnsi="Tahoma" w:cs="Tahoma"/>
                <w:sz w:val="20"/>
                <w:szCs w:val="20"/>
              </w:rPr>
              <w:t>entegre</w:t>
            </w:r>
            <w:proofErr w:type="gramEnd"/>
            <w:r w:rsidRPr="00BE04CB">
              <w:rPr>
                <w:rFonts w:ascii="Tahoma" w:hAnsi="Tahoma" w:cs="Tahoma"/>
                <w:sz w:val="20"/>
                <w:szCs w:val="20"/>
              </w:rPr>
              <w:t xml:space="preserve"> edilmiştir.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E04CB" w:rsidRPr="00BE04CB" w:rsidRDefault="00BE04CB" w:rsidP="00BE04CB">
            <w:pPr>
              <w:rPr>
                <w:rFonts w:ascii="Tahoma" w:hAnsi="Tahoma" w:cs="Tahoma"/>
                <w:b/>
                <w:sz w:val="20"/>
                <w:szCs w:val="20"/>
              </w:rPr>
            </w:pPr>
            <w:r w:rsidRPr="00BE04CB">
              <w:rPr>
                <w:rFonts w:ascii="Tahoma" w:hAnsi="Tahoma" w:cs="Tahoma"/>
                <w:b/>
                <w:sz w:val="20"/>
                <w:szCs w:val="20"/>
              </w:rPr>
              <w:t>Eklenenler:</w:t>
            </w:r>
          </w:p>
          <w:p w:rsidR="00BE04CB" w:rsidRPr="00BE04CB" w:rsidRDefault="00BE04CB" w:rsidP="00BE04CB">
            <w:pPr>
              <w:rPr>
                <w:rFonts w:ascii="Tahoma" w:hAnsi="Tahoma" w:cs="Tahoma"/>
                <w:sz w:val="20"/>
                <w:szCs w:val="20"/>
              </w:rPr>
            </w:pPr>
            <w:r w:rsidRPr="00BE04CB">
              <w:rPr>
                <w:rFonts w:ascii="Tahoma" w:hAnsi="Tahoma" w:cs="Tahoma"/>
                <w:sz w:val="20"/>
                <w:szCs w:val="20"/>
              </w:rPr>
              <w:t>Sosyal Adalet</w:t>
            </w:r>
          </w:p>
          <w:p w:rsidR="00BE04CB" w:rsidRPr="00BE04CB" w:rsidRDefault="00BE04CB" w:rsidP="00BE04CB">
            <w:pPr>
              <w:rPr>
                <w:rFonts w:ascii="Tahoma" w:hAnsi="Tahoma" w:cs="Tahoma"/>
                <w:sz w:val="20"/>
                <w:szCs w:val="20"/>
              </w:rPr>
            </w:pPr>
            <w:r w:rsidRPr="00BE04CB">
              <w:rPr>
                <w:rFonts w:ascii="Tahoma" w:hAnsi="Tahoma" w:cs="Tahoma"/>
                <w:sz w:val="20"/>
                <w:szCs w:val="20"/>
              </w:rPr>
              <w:t>Çevre Sorunları</w:t>
            </w:r>
          </w:p>
          <w:p w:rsidR="00BE04CB" w:rsidRPr="00BE04CB" w:rsidRDefault="00BE04CB" w:rsidP="00BE04CB">
            <w:pPr>
              <w:rPr>
                <w:rFonts w:ascii="Tahoma" w:hAnsi="Tahoma" w:cs="Tahoma"/>
                <w:sz w:val="20"/>
                <w:szCs w:val="20"/>
              </w:rPr>
            </w:pPr>
            <w:r w:rsidRPr="00BE04CB">
              <w:rPr>
                <w:rFonts w:ascii="Tahoma" w:hAnsi="Tahoma" w:cs="Tahoma"/>
                <w:sz w:val="20"/>
                <w:szCs w:val="20"/>
              </w:rPr>
              <w:t>Teknoloji ve Din</w:t>
            </w:r>
          </w:p>
          <w:p w:rsidR="00BE04CB" w:rsidRPr="00BE04CB" w:rsidRDefault="00BE04CB" w:rsidP="00BE04CB">
            <w:pPr>
              <w:rPr>
                <w:rFonts w:ascii="Tahoma" w:hAnsi="Tahoma" w:cs="Tahoma"/>
                <w:sz w:val="20"/>
                <w:szCs w:val="20"/>
              </w:rPr>
            </w:pPr>
            <w:r w:rsidRPr="00BE04CB">
              <w:rPr>
                <w:rFonts w:ascii="Tahoma" w:hAnsi="Tahoma" w:cs="Tahoma"/>
                <w:sz w:val="20"/>
                <w:szCs w:val="20"/>
              </w:rPr>
              <w:t>İslam Medeniyetine Katkıda Bulunan Bilim İnsanları</w:t>
            </w:r>
          </w:p>
          <w:p w:rsidR="00BE04CB" w:rsidRDefault="00BE04CB" w:rsidP="00BE04CB">
            <w:pPr>
              <w:rPr>
                <w:rFonts w:ascii="Tahoma" w:hAnsi="Tahoma" w:cs="Tahoma"/>
                <w:b/>
                <w:sz w:val="20"/>
                <w:szCs w:val="20"/>
              </w:rPr>
            </w:pPr>
          </w:p>
          <w:p w:rsidR="00BE04CB" w:rsidRDefault="00BE04CB" w:rsidP="00BE04CB">
            <w:pPr>
              <w:rPr>
                <w:rFonts w:ascii="Tahoma" w:hAnsi="Tahoma" w:cs="Tahoma"/>
                <w:b/>
                <w:sz w:val="20"/>
                <w:szCs w:val="20"/>
              </w:rPr>
            </w:pPr>
          </w:p>
          <w:p w:rsidR="00BE04CB" w:rsidRPr="00BE04CB" w:rsidRDefault="00BE04CB" w:rsidP="00BE04CB">
            <w:pPr>
              <w:rPr>
                <w:rFonts w:ascii="Tahoma" w:hAnsi="Tahoma" w:cs="Tahoma"/>
                <w:b/>
                <w:sz w:val="20"/>
                <w:szCs w:val="20"/>
              </w:rPr>
            </w:pPr>
            <w:r w:rsidRPr="00BE04CB">
              <w:rPr>
                <w:rFonts w:ascii="Tahoma" w:hAnsi="Tahoma" w:cs="Tahoma"/>
                <w:b/>
                <w:sz w:val="20"/>
                <w:szCs w:val="20"/>
              </w:rPr>
              <w:lastRenderedPageBreak/>
              <w:t>Kaldırılanlar:</w:t>
            </w:r>
          </w:p>
          <w:p w:rsidR="00BE04CB" w:rsidRPr="00BE04CB" w:rsidRDefault="00BE04CB" w:rsidP="00BE04CB">
            <w:pPr>
              <w:rPr>
                <w:rFonts w:ascii="Tahoma" w:hAnsi="Tahoma" w:cs="Tahoma"/>
                <w:sz w:val="20"/>
                <w:szCs w:val="20"/>
              </w:rPr>
            </w:pPr>
            <w:r w:rsidRPr="00BE04CB">
              <w:rPr>
                <w:rFonts w:ascii="Tahoma" w:hAnsi="Tahoma" w:cs="Tahoma"/>
                <w:sz w:val="20"/>
                <w:szCs w:val="20"/>
              </w:rPr>
              <w:t>Bazı detaylı ilmihal bilgileri</w:t>
            </w:r>
          </w:p>
          <w:p w:rsidR="003453A6" w:rsidRPr="00BE04CB" w:rsidRDefault="00BE04CB" w:rsidP="00BE04CB">
            <w:pPr>
              <w:rPr>
                <w:rFonts w:ascii="Tahoma" w:hAnsi="Tahoma" w:cs="Tahoma"/>
                <w:sz w:val="20"/>
                <w:szCs w:val="20"/>
              </w:rPr>
            </w:pPr>
            <w:r w:rsidRPr="00BE04CB">
              <w:rPr>
                <w:rFonts w:ascii="Tahoma" w:hAnsi="Tahoma" w:cs="Tahoma"/>
                <w:sz w:val="20"/>
                <w:szCs w:val="20"/>
              </w:rPr>
              <w:t>Tekrar eden konular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lastRenderedPageBreak/>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E04CB" w:rsidRPr="00BE04CB" w:rsidRDefault="00BE04CB" w:rsidP="00BE04CB">
            <w:pPr>
              <w:rPr>
                <w:rFonts w:ascii="Tahoma" w:hAnsi="Tahoma" w:cs="Tahoma"/>
                <w:sz w:val="20"/>
                <w:szCs w:val="20"/>
              </w:rPr>
            </w:pPr>
            <w:r w:rsidRPr="00BE04CB">
              <w:rPr>
                <w:rFonts w:ascii="Tahoma" w:hAnsi="Tahoma" w:cs="Tahoma"/>
                <w:sz w:val="20"/>
                <w:szCs w:val="20"/>
              </w:rPr>
              <w:t>Maarif Modeli, beceri temelli bir anlayışı benimsediğinden ölçme ve değerlendirme de bu doğrultuda şekillenmiştir. Ezbere dayalı değerlendirmeden ziyade, öğrencilerin bilgiyi kullanma, yorumlama ve problem çözme becerilerini ölçen yöntemlere ağırlık verilmiştir.</w:t>
            </w:r>
          </w:p>
          <w:p w:rsidR="00BE04CB" w:rsidRDefault="00BE04CB" w:rsidP="00BE04CB">
            <w:pPr>
              <w:rPr>
                <w:rFonts w:ascii="Tahoma" w:hAnsi="Tahoma" w:cs="Tahoma"/>
                <w:b/>
                <w:sz w:val="20"/>
                <w:szCs w:val="20"/>
              </w:rPr>
            </w:pPr>
          </w:p>
          <w:p w:rsidR="00BE04CB" w:rsidRPr="00BE04CB" w:rsidRDefault="00BE04CB" w:rsidP="00BE04CB">
            <w:pPr>
              <w:rPr>
                <w:rFonts w:ascii="Tahoma" w:hAnsi="Tahoma" w:cs="Tahoma"/>
                <w:b/>
                <w:sz w:val="20"/>
                <w:szCs w:val="20"/>
              </w:rPr>
            </w:pPr>
            <w:r w:rsidRPr="00BE04CB">
              <w:rPr>
                <w:rFonts w:ascii="Tahoma" w:hAnsi="Tahoma" w:cs="Tahoma"/>
                <w:b/>
                <w:sz w:val="20"/>
                <w:szCs w:val="20"/>
              </w:rPr>
              <w:t>Örnek Öğrenme Çıktısı: 8.2.3. Zekât ve sadaka ibadetinin kültürümüze yansımalarını gözleme dayalı tahmin edebilme</w:t>
            </w:r>
          </w:p>
          <w:p w:rsidR="00BE04CB" w:rsidRDefault="00BE04CB" w:rsidP="00BE04CB">
            <w:pPr>
              <w:rPr>
                <w:rFonts w:ascii="Tahoma" w:hAnsi="Tahoma" w:cs="Tahoma"/>
                <w:b/>
                <w:sz w:val="20"/>
                <w:szCs w:val="20"/>
              </w:rPr>
            </w:pPr>
          </w:p>
          <w:p w:rsidR="00BE04CB" w:rsidRPr="00BE04CB" w:rsidRDefault="00BE04CB" w:rsidP="00BE04CB">
            <w:pPr>
              <w:rPr>
                <w:rFonts w:ascii="Tahoma" w:hAnsi="Tahoma" w:cs="Tahoma"/>
                <w:b/>
                <w:sz w:val="20"/>
                <w:szCs w:val="20"/>
              </w:rPr>
            </w:pPr>
            <w:r w:rsidRPr="00BE04CB">
              <w:rPr>
                <w:rFonts w:ascii="Tahoma" w:hAnsi="Tahoma" w:cs="Tahoma"/>
                <w:b/>
                <w:sz w:val="20"/>
                <w:szCs w:val="20"/>
              </w:rPr>
              <w:t>Ölçme ve Değerlendirme:</w:t>
            </w:r>
          </w:p>
          <w:p w:rsidR="00BE04CB" w:rsidRPr="00BE04CB" w:rsidRDefault="00BE04CB" w:rsidP="00BE04CB">
            <w:pPr>
              <w:pStyle w:val="ListeParagraf"/>
              <w:numPr>
                <w:ilvl w:val="0"/>
                <w:numId w:val="43"/>
              </w:numPr>
              <w:rPr>
                <w:rFonts w:ascii="Tahoma" w:hAnsi="Tahoma" w:cs="Tahoma"/>
                <w:sz w:val="20"/>
                <w:szCs w:val="20"/>
              </w:rPr>
            </w:pPr>
            <w:r w:rsidRPr="00BE04CB">
              <w:rPr>
                <w:rFonts w:ascii="Tahoma" w:hAnsi="Tahoma" w:cs="Tahoma"/>
                <w:sz w:val="20"/>
                <w:szCs w:val="20"/>
              </w:rPr>
              <w:t>Öğrenci, zekât ve sadakanın toplumsal hayattaki örneklerini gözlemleyerek bir sunum hazırlar.</w:t>
            </w:r>
          </w:p>
          <w:p w:rsidR="00BE04CB" w:rsidRPr="00BE04CB" w:rsidRDefault="00BE04CB" w:rsidP="00BE04CB">
            <w:pPr>
              <w:pStyle w:val="ListeParagraf"/>
              <w:numPr>
                <w:ilvl w:val="0"/>
                <w:numId w:val="43"/>
              </w:numPr>
              <w:rPr>
                <w:rFonts w:ascii="Tahoma" w:hAnsi="Tahoma" w:cs="Tahoma"/>
                <w:sz w:val="20"/>
                <w:szCs w:val="20"/>
              </w:rPr>
            </w:pPr>
            <w:r w:rsidRPr="00BE04CB">
              <w:rPr>
                <w:rFonts w:ascii="Tahoma" w:hAnsi="Tahoma" w:cs="Tahoma"/>
                <w:sz w:val="20"/>
                <w:szCs w:val="20"/>
              </w:rPr>
              <w:t>Sunumda, zekât ve sadaka ile ilgili kurumlar, gelenekler ve uygulamalar görsel materyallerle desteklenerek aktarılır.</w:t>
            </w:r>
          </w:p>
          <w:p w:rsidR="00BE04CB" w:rsidRPr="00BE04CB" w:rsidRDefault="00BE04CB" w:rsidP="00BE04CB">
            <w:pPr>
              <w:pStyle w:val="ListeParagraf"/>
              <w:numPr>
                <w:ilvl w:val="0"/>
                <w:numId w:val="43"/>
              </w:numPr>
              <w:rPr>
                <w:rFonts w:ascii="Tahoma" w:hAnsi="Tahoma" w:cs="Tahoma"/>
                <w:sz w:val="20"/>
                <w:szCs w:val="20"/>
              </w:rPr>
            </w:pPr>
            <w:r w:rsidRPr="00BE04CB">
              <w:rPr>
                <w:rFonts w:ascii="Tahoma" w:hAnsi="Tahoma" w:cs="Tahoma"/>
                <w:sz w:val="20"/>
                <w:szCs w:val="20"/>
              </w:rPr>
              <w:t>Öğrenciye, sunumu hazırlarken kullandığı kaynaklar, yaptığı çıkarımlar ve ulaştığı sonuçlar hakkında sorular yöneltilir.</w:t>
            </w:r>
          </w:p>
          <w:p w:rsidR="003453A6" w:rsidRPr="00BE04CB" w:rsidRDefault="00BE04CB" w:rsidP="00BE04CB">
            <w:pPr>
              <w:pStyle w:val="ListeParagraf"/>
              <w:numPr>
                <w:ilvl w:val="0"/>
                <w:numId w:val="43"/>
              </w:numPr>
              <w:rPr>
                <w:rFonts w:ascii="Tahoma" w:hAnsi="Tahoma" w:cs="Tahoma"/>
                <w:sz w:val="20"/>
                <w:szCs w:val="20"/>
              </w:rPr>
            </w:pPr>
            <w:r w:rsidRPr="00BE04CB">
              <w:rPr>
                <w:rFonts w:ascii="Tahoma" w:hAnsi="Tahoma" w:cs="Tahoma"/>
                <w:sz w:val="20"/>
                <w:szCs w:val="20"/>
              </w:rPr>
              <w:t>Bu şekilde, öğrencinin sadece bilgiyi ezberlemesi değil, aynı zamanda bilgiyi kullanarak analiz yapma, yorumlama ve sunma becerilerini de değerlendirilmiş olur.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BE04CB" w:rsidRPr="00BE04CB" w:rsidRDefault="00BE04CB" w:rsidP="00BE04CB">
            <w:pPr>
              <w:rPr>
                <w:rFonts w:ascii="Tahoma" w:hAnsi="Tahoma" w:cs="Tahoma"/>
                <w:b/>
                <w:sz w:val="20"/>
                <w:szCs w:val="20"/>
              </w:rPr>
            </w:pPr>
            <w:r w:rsidRPr="00BE04CB">
              <w:rPr>
                <w:rFonts w:ascii="Tahoma" w:hAnsi="Tahoma" w:cs="Tahoma"/>
                <w:b/>
                <w:sz w:val="20"/>
                <w:szCs w:val="20"/>
              </w:rPr>
              <w:t>(Ünite 8.4. Kur'an ve İnsan)</w:t>
            </w:r>
          </w:p>
          <w:p w:rsidR="00BE04CB" w:rsidRPr="00BE04CB" w:rsidRDefault="00BE04CB" w:rsidP="00BE04CB">
            <w:pPr>
              <w:rPr>
                <w:rFonts w:ascii="Tahoma" w:hAnsi="Tahoma" w:cs="Tahoma"/>
                <w:b/>
                <w:sz w:val="20"/>
                <w:szCs w:val="20"/>
              </w:rPr>
            </w:pPr>
            <w:r w:rsidRPr="00BE04CB">
              <w:rPr>
                <w:rFonts w:ascii="Tahoma" w:hAnsi="Tahoma" w:cs="Tahoma"/>
                <w:b/>
                <w:sz w:val="20"/>
                <w:szCs w:val="20"/>
              </w:rPr>
              <w:t>Erdem - Değer - Eylem Modeli:</w:t>
            </w:r>
          </w:p>
          <w:p w:rsidR="00BE04CB" w:rsidRPr="00BE04CB" w:rsidRDefault="00BE04CB" w:rsidP="00BE04CB">
            <w:pPr>
              <w:pStyle w:val="ListeParagraf"/>
              <w:numPr>
                <w:ilvl w:val="0"/>
                <w:numId w:val="44"/>
              </w:numPr>
              <w:rPr>
                <w:rFonts w:ascii="Tahoma" w:hAnsi="Tahoma" w:cs="Tahoma"/>
                <w:sz w:val="20"/>
                <w:szCs w:val="20"/>
              </w:rPr>
            </w:pPr>
            <w:r w:rsidRPr="00BE04CB">
              <w:rPr>
                <w:rFonts w:ascii="Tahoma" w:hAnsi="Tahoma" w:cs="Tahoma"/>
                <w:sz w:val="20"/>
                <w:szCs w:val="20"/>
              </w:rPr>
              <w:t>Hz. Muhammed'in (sav) örnekliği üzerinden dürüstlük, merhamet, adalet gibi erdemler ele alınır.</w:t>
            </w:r>
          </w:p>
          <w:p w:rsidR="00BE04CB" w:rsidRPr="00BE04CB" w:rsidRDefault="00BE04CB" w:rsidP="00BE04CB">
            <w:pPr>
              <w:pStyle w:val="ListeParagraf"/>
              <w:numPr>
                <w:ilvl w:val="0"/>
                <w:numId w:val="44"/>
              </w:numPr>
              <w:rPr>
                <w:rFonts w:ascii="Tahoma" w:hAnsi="Tahoma" w:cs="Tahoma"/>
                <w:sz w:val="20"/>
                <w:szCs w:val="20"/>
              </w:rPr>
            </w:pPr>
            <w:r w:rsidRPr="00BE04CB">
              <w:rPr>
                <w:rFonts w:ascii="Tahoma" w:hAnsi="Tahoma" w:cs="Tahoma"/>
                <w:sz w:val="20"/>
                <w:szCs w:val="20"/>
              </w:rPr>
              <w:t>Öğrencilere, bu erdemleri günlük hayatta nasıl gösterebilecekleri konusunda farkındalık kazandırılır.</w:t>
            </w:r>
          </w:p>
          <w:p w:rsidR="00BE04CB" w:rsidRPr="00BE04CB" w:rsidRDefault="00BE04CB" w:rsidP="00BE04CB">
            <w:pPr>
              <w:pStyle w:val="ListeParagraf"/>
              <w:numPr>
                <w:ilvl w:val="0"/>
                <w:numId w:val="44"/>
              </w:numPr>
              <w:rPr>
                <w:rFonts w:ascii="Tahoma" w:hAnsi="Tahoma" w:cs="Tahoma"/>
                <w:sz w:val="20"/>
                <w:szCs w:val="20"/>
              </w:rPr>
            </w:pPr>
            <w:r w:rsidRPr="00BE04CB">
              <w:rPr>
                <w:rFonts w:ascii="Tahoma" w:hAnsi="Tahoma" w:cs="Tahoma"/>
                <w:sz w:val="20"/>
                <w:szCs w:val="20"/>
              </w:rPr>
              <w:t>Öğrenciler, grup çalışmaları, drama etkinlikleri, sosyal sorumluluk projeleri gibi etkinliklerle bu erdemleri eyleme dönüştürme fırsatı bulur.</w:t>
            </w:r>
          </w:p>
          <w:p w:rsidR="00BE04CB" w:rsidRPr="00BE04CB" w:rsidRDefault="00BE04CB" w:rsidP="00BE04CB">
            <w:pPr>
              <w:rPr>
                <w:rFonts w:ascii="Tahoma" w:hAnsi="Tahoma" w:cs="Tahoma"/>
                <w:b/>
                <w:sz w:val="20"/>
                <w:szCs w:val="20"/>
              </w:rPr>
            </w:pPr>
            <w:r w:rsidRPr="00BE04CB">
              <w:rPr>
                <w:rFonts w:ascii="Tahoma" w:hAnsi="Tahoma" w:cs="Tahoma"/>
                <w:b/>
                <w:sz w:val="20"/>
                <w:szCs w:val="20"/>
              </w:rPr>
              <w:t>Okuryazarlık Becerileri:</w:t>
            </w:r>
          </w:p>
          <w:p w:rsidR="00BE04CB" w:rsidRPr="00BE04CB" w:rsidRDefault="00BE04CB" w:rsidP="00BE04CB">
            <w:pPr>
              <w:pStyle w:val="ListeParagraf"/>
              <w:numPr>
                <w:ilvl w:val="0"/>
                <w:numId w:val="45"/>
              </w:numPr>
              <w:rPr>
                <w:rFonts w:ascii="Tahoma" w:hAnsi="Tahoma" w:cs="Tahoma"/>
                <w:sz w:val="20"/>
                <w:szCs w:val="20"/>
              </w:rPr>
            </w:pPr>
            <w:r w:rsidRPr="00BE04CB">
              <w:rPr>
                <w:rFonts w:ascii="Tahoma" w:hAnsi="Tahoma" w:cs="Tahoma"/>
                <w:sz w:val="20"/>
                <w:szCs w:val="20"/>
              </w:rPr>
              <w:t>Öğrenciler, ayet ve hadislerden anlam çıkarma, yorumlama ve eleştirel düşünme becerilerini geliştirir.</w:t>
            </w:r>
          </w:p>
          <w:p w:rsidR="00BE04CB" w:rsidRPr="00BE04CB" w:rsidRDefault="00BE04CB" w:rsidP="00BE04CB">
            <w:pPr>
              <w:pStyle w:val="ListeParagraf"/>
              <w:numPr>
                <w:ilvl w:val="0"/>
                <w:numId w:val="45"/>
              </w:numPr>
              <w:rPr>
                <w:rFonts w:ascii="Tahoma" w:hAnsi="Tahoma" w:cs="Tahoma"/>
                <w:sz w:val="20"/>
                <w:szCs w:val="20"/>
              </w:rPr>
            </w:pPr>
            <w:r w:rsidRPr="00BE04CB">
              <w:rPr>
                <w:rFonts w:ascii="Tahoma" w:hAnsi="Tahoma" w:cs="Tahoma"/>
                <w:sz w:val="20"/>
                <w:szCs w:val="20"/>
              </w:rPr>
              <w:t>Konular, görsel materyaller, dijital içerikler ve edebi metinlerle desteklenerek çoklu okuryazarlık becerileri geliştirilir.</w:t>
            </w:r>
          </w:p>
          <w:p w:rsidR="00BE04CB" w:rsidRPr="00BE04CB" w:rsidRDefault="00BE04CB" w:rsidP="00BE04CB">
            <w:pPr>
              <w:rPr>
                <w:rFonts w:ascii="Tahoma" w:hAnsi="Tahoma" w:cs="Tahoma"/>
                <w:b/>
                <w:sz w:val="20"/>
                <w:szCs w:val="20"/>
              </w:rPr>
            </w:pPr>
            <w:r w:rsidRPr="00BE04CB">
              <w:rPr>
                <w:rFonts w:ascii="Tahoma" w:hAnsi="Tahoma" w:cs="Tahoma"/>
                <w:b/>
                <w:sz w:val="20"/>
                <w:szCs w:val="20"/>
              </w:rPr>
              <w:t>Sosyal-Duygusal Öğrenme Becerileri:</w:t>
            </w:r>
          </w:p>
          <w:p w:rsidR="00BE04CB" w:rsidRPr="00BE04CB" w:rsidRDefault="00BE04CB" w:rsidP="00BE04CB">
            <w:pPr>
              <w:pStyle w:val="ListeParagraf"/>
              <w:numPr>
                <w:ilvl w:val="0"/>
                <w:numId w:val="46"/>
              </w:numPr>
              <w:rPr>
                <w:rFonts w:ascii="Tahoma" w:hAnsi="Tahoma" w:cs="Tahoma"/>
                <w:sz w:val="20"/>
                <w:szCs w:val="20"/>
              </w:rPr>
            </w:pPr>
            <w:r w:rsidRPr="00BE04CB">
              <w:rPr>
                <w:rFonts w:ascii="Tahoma" w:hAnsi="Tahoma" w:cs="Tahoma"/>
                <w:sz w:val="20"/>
                <w:szCs w:val="20"/>
              </w:rPr>
              <w:t xml:space="preserve">Hz. Lokman'ın öğütleri ve Hz. Muhammed'in (sav) örnekliği üzerinden </w:t>
            </w:r>
            <w:proofErr w:type="gramStart"/>
            <w:r w:rsidRPr="00BE04CB">
              <w:rPr>
                <w:rFonts w:ascii="Tahoma" w:hAnsi="Tahoma" w:cs="Tahoma"/>
                <w:sz w:val="20"/>
                <w:szCs w:val="20"/>
              </w:rPr>
              <w:t>empati</w:t>
            </w:r>
            <w:proofErr w:type="gramEnd"/>
            <w:r w:rsidRPr="00BE04CB">
              <w:rPr>
                <w:rFonts w:ascii="Tahoma" w:hAnsi="Tahoma" w:cs="Tahoma"/>
                <w:sz w:val="20"/>
                <w:szCs w:val="20"/>
              </w:rPr>
              <w:t>, sorumluluk, öz denetim gibi sosyal-duygusal beceriler ele alınır.</w:t>
            </w:r>
          </w:p>
          <w:p w:rsidR="00BE04CB" w:rsidRPr="00BE04CB" w:rsidRDefault="00BE04CB" w:rsidP="00BE04CB">
            <w:pPr>
              <w:pStyle w:val="ListeParagraf"/>
              <w:numPr>
                <w:ilvl w:val="0"/>
                <w:numId w:val="46"/>
              </w:numPr>
              <w:rPr>
                <w:rFonts w:ascii="Tahoma" w:hAnsi="Tahoma" w:cs="Tahoma"/>
                <w:sz w:val="20"/>
                <w:szCs w:val="20"/>
              </w:rPr>
            </w:pPr>
            <w:r w:rsidRPr="00BE04CB">
              <w:rPr>
                <w:rFonts w:ascii="Tahoma" w:hAnsi="Tahoma" w:cs="Tahoma"/>
                <w:sz w:val="20"/>
                <w:szCs w:val="20"/>
              </w:rPr>
              <w:t>Öğrencilere, bu becerileri geliştirmelerine yardımcı olacak etkinlikler ve oyunlar sunulur.</w:t>
            </w:r>
          </w:p>
          <w:p w:rsidR="00FB7606" w:rsidRPr="00BE04CB" w:rsidRDefault="00BE04CB" w:rsidP="00BE04CB">
            <w:pPr>
              <w:pStyle w:val="ListeParagraf"/>
              <w:numPr>
                <w:ilvl w:val="0"/>
                <w:numId w:val="46"/>
              </w:numPr>
              <w:rPr>
                <w:rFonts w:ascii="Tahoma" w:hAnsi="Tahoma" w:cs="Tahoma"/>
                <w:sz w:val="20"/>
                <w:szCs w:val="20"/>
              </w:rPr>
            </w:pPr>
            <w:r w:rsidRPr="00BE04CB">
              <w:rPr>
                <w:rFonts w:ascii="Tahoma" w:hAnsi="Tahoma" w:cs="Tahoma"/>
                <w:sz w:val="20"/>
                <w:szCs w:val="20"/>
              </w:rPr>
              <w:t>Sınıf ortamında saygı, hoşgörü ve işbirliği esas alınarak olumlu bir öğrenme ortamı oluşturulur.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BE04CB" w:rsidRPr="00BE04CB" w:rsidRDefault="00BE04CB" w:rsidP="00BE04CB">
            <w:pPr>
              <w:rPr>
                <w:rFonts w:ascii="Tahoma" w:hAnsi="Tahoma" w:cs="Tahoma"/>
                <w:sz w:val="20"/>
                <w:szCs w:val="20"/>
              </w:rPr>
            </w:pPr>
            <w:r w:rsidRPr="00BE04CB">
              <w:rPr>
                <w:rFonts w:ascii="Tahoma" w:hAnsi="Tahoma" w:cs="Tahoma"/>
                <w:sz w:val="20"/>
                <w:szCs w:val="20"/>
              </w:rPr>
              <w:t>Yeni programda, farklı öğrenme ihtiyaçlarına cevap verebilmek için zenginleştirme ve destekleme etkinlikleri sunulmaktadır.</w:t>
            </w:r>
          </w:p>
          <w:p w:rsidR="00BE04CB" w:rsidRPr="00BE04CB" w:rsidRDefault="00BE04CB" w:rsidP="00BE04CB">
            <w:pPr>
              <w:rPr>
                <w:rFonts w:ascii="Tahoma" w:hAnsi="Tahoma" w:cs="Tahoma"/>
                <w:b/>
                <w:sz w:val="20"/>
                <w:szCs w:val="20"/>
              </w:rPr>
            </w:pPr>
            <w:r w:rsidRPr="00BE04CB">
              <w:rPr>
                <w:rFonts w:ascii="Tahoma" w:hAnsi="Tahoma" w:cs="Tahoma"/>
                <w:b/>
                <w:sz w:val="20"/>
                <w:szCs w:val="20"/>
              </w:rPr>
              <w:t>Zenginleştirme Gerektiren Durumlar:</w:t>
            </w:r>
          </w:p>
          <w:p w:rsidR="00BE04CB" w:rsidRPr="00BE04CB" w:rsidRDefault="00BE04CB" w:rsidP="00BE04CB">
            <w:pPr>
              <w:pStyle w:val="ListeParagraf"/>
              <w:numPr>
                <w:ilvl w:val="0"/>
                <w:numId w:val="47"/>
              </w:numPr>
              <w:rPr>
                <w:rFonts w:ascii="Tahoma" w:hAnsi="Tahoma" w:cs="Tahoma"/>
                <w:sz w:val="20"/>
                <w:szCs w:val="20"/>
              </w:rPr>
            </w:pPr>
            <w:r w:rsidRPr="00BE04CB">
              <w:rPr>
                <w:rFonts w:ascii="Tahoma" w:hAnsi="Tahoma" w:cs="Tahoma"/>
                <w:sz w:val="20"/>
                <w:szCs w:val="20"/>
              </w:rPr>
              <w:t>Konuya ilgi duyan ve daha fazla bilgi edinmek isteyen öğrenciler için ek okumalar, araştırmalar, projeler</w:t>
            </w:r>
          </w:p>
          <w:p w:rsidR="00BE04CB" w:rsidRPr="00BE04CB" w:rsidRDefault="00BE04CB" w:rsidP="00BE04CB">
            <w:pPr>
              <w:pStyle w:val="ListeParagraf"/>
              <w:numPr>
                <w:ilvl w:val="0"/>
                <w:numId w:val="47"/>
              </w:numPr>
              <w:rPr>
                <w:rFonts w:ascii="Tahoma" w:hAnsi="Tahoma" w:cs="Tahoma"/>
                <w:sz w:val="20"/>
                <w:szCs w:val="20"/>
              </w:rPr>
            </w:pPr>
            <w:r w:rsidRPr="00BE04CB">
              <w:rPr>
                <w:rFonts w:ascii="Tahoma" w:hAnsi="Tahoma" w:cs="Tahoma"/>
                <w:sz w:val="20"/>
                <w:szCs w:val="20"/>
              </w:rPr>
              <w:t>Üst düzey düşünme becerilerini sergileyen öğrenciler için tartışmalar, münazaralar, eleştirel analizler</w:t>
            </w:r>
          </w:p>
          <w:p w:rsidR="00BE04CB" w:rsidRPr="00BE04CB" w:rsidRDefault="00BE04CB" w:rsidP="00BE04CB">
            <w:pPr>
              <w:rPr>
                <w:rFonts w:ascii="Tahoma" w:hAnsi="Tahoma" w:cs="Tahoma"/>
                <w:b/>
                <w:sz w:val="20"/>
                <w:szCs w:val="20"/>
              </w:rPr>
            </w:pPr>
            <w:r w:rsidRPr="00BE04CB">
              <w:rPr>
                <w:rFonts w:ascii="Tahoma" w:hAnsi="Tahoma" w:cs="Tahoma"/>
                <w:b/>
                <w:sz w:val="20"/>
                <w:szCs w:val="20"/>
              </w:rPr>
              <w:lastRenderedPageBreak/>
              <w:t>Destekleme Gerektiren Durumlar:</w:t>
            </w:r>
          </w:p>
          <w:p w:rsidR="00BE04CB" w:rsidRPr="00BE04CB" w:rsidRDefault="00BE04CB" w:rsidP="00BE04CB">
            <w:pPr>
              <w:pStyle w:val="ListeParagraf"/>
              <w:numPr>
                <w:ilvl w:val="0"/>
                <w:numId w:val="48"/>
              </w:numPr>
              <w:rPr>
                <w:rFonts w:ascii="Tahoma" w:hAnsi="Tahoma" w:cs="Tahoma"/>
                <w:sz w:val="20"/>
                <w:szCs w:val="20"/>
              </w:rPr>
            </w:pPr>
            <w:r w:rsidRPr="00BE04CB">
              <w:rPr>
                <w:rFonts w:ascii="Tahoma" w:hAnsi="Tahoma" w:cs="Tahoma"/>
                <w:sz w:val="20"/>
                <w:szCs w:val="20"/>
              </w:rPr>
              <w:t>Kavramları anlamakta zorlanan öğrenciler için somut örnekler, görsel materyaller, basitleştirilmiş metinler</w:t>
            </w:r>
          </w:p>
          <w:p w:rsidR="00721380" w:rsidRPr="00BE04CB" w:rsidRDefault="00BE04CB" w:rsidP="00BE04CB">
            <w:pPr>
              <w:pStyle w:val="ListeParagraf"/>
              <w:numPr>
                <w:ilvl w:val="0"/>
                <w:numId w:val="48"/>
              </w:numPr>
              <w:rPr>
                <w:rFonts w:ascii="Tahoma" w:hAnsi="Tahoma" w:cs="Tahoma"/>
                <w:sz w:val="20"/>
                <w:szCs w:val="20"/>
              </w:rPr>
            </w:pPr>
            <w:r w:rsidRPr="00BE04CB">
              <w:rPr>
                <w:rFonts w:ascii="Tahoma" w:hAnsi="Tahoma" w:cs="Tahoma"/>
                <w:sz w:val="20"/>
                <w:szCs w:val="20"/>
              </w:rPr>
              <w:t>Öğrenme güçlüğü çeken öğrenciler için ek zaman, bireysel rehberlik, uyarlanmış materyaller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BE04CB" w:rsidRPr="00BE04CB" w:rsidRDefault="00BE04CB" w:rsidP="00BE04CB">
            <w:pPr>
              <w:pStyle w:val="ListeParagraf"/>
              <w:numPr>
                <w:ilvl w:val="0"/>
                <w:numId w:val="49"/>
              </w:numPr>
              <w:rPr>
                <w:rFonts w:ascii="Tahoma" w:hAnsi="Tahoma" w:cs="Tahoma"/>
                <w:sz w:val="20"/>
                <w:szCs w:val="20"/>
              </w:rPr>
            </w:pPr>
            <w:r w:rsidRPr="00BE04CB">
              <w:rPr>
                <w:rFonts w:ascii="Tahoma" w:hAnsi="Tahoma" w:cs="Tahoma"/>
                <w:b/>
                <w:sz w:val="20"/>
                <w:szCs w:val="20"/>
              </w:rPr>
              <w:t>Öğretmen eğitimleri:</w:t>
            </w:r>
            <w:r w:rsidRPr="00BE04CB">
              <w:rPr>
                <w:rFonts w:ascii="Tahoma" w:hAnsi="Tahoma" w:cs="Tahoma"/>
                <w:sz w:val="20"/>
                <w:szCs w:val="20"/>
              </w:rPr>
              <w:t xml:space="preserve"> Öğretmenlerin yeni programın felsefesini, yaklaşımını ve yöntemlerini özümsemeleri için kapsamlı eğitimler düzenlenmelidir.</w:t>
            </w:r>
          </w:p>
          <w:p w:rsidR="00BE04CB" w:rsidRPr="00BE04CB" w:rsidRDefault="00BE04CB" w:rsidP="00BE04CB">
            <w:pPr>
              <w:pStyle w:val="ListeParagraf"/>
              <w:numPr>
                <w:ilvl w:val="0"/>
                <w:numId w:val="49"/>
              </w:numPr>
              <w:rPr>
                <w:rFonts w:ascii="Tahoma" w:hAnsi="Tahoma" w:cs="Tahoma"/>
                <w:sz w:val="20"/>
                <w:szCs w:val="20"/>
              </w:rPr>
            </w:pPr>
            <w:r w:rsidRPr="00BE04CB">
              <w:rPr>
                <w:rFonts w:ascii="Tahoma" w:hAnsi="Tahoma" w:cs="Tahoma"/>
                <w:b/>
                <w:sz w:val="20"/>
                <w:szCs w:val="20"/>
              </w:rPr>
              <w:t>Materyal desteği:</w:t>
            </w:r>
            <w:r w:rsidRPr="00BE04CB">
              <w:rPr>
                <w:rFonts w:ascii="Tahoma" w:hAnsi="Tahoma" w:cs="Tahoma"/>
                <w:sz w:val="20"/>
                <w:szCs w:val="20"/>
              </w:rPr>
              <w:t xml:space="preserve"> Öğretim programına uygun, güncel ve etkileşimli materyallerin hazırlanarak öğretmenlere ve öğrencilere sunulması gerekmektedir.</w:t>
            </w:r>
          </w:p>
          <w:p w:rsidR="00BE04CB" w:rsidRPr="00BE04CB" w:rsidRDefault="00BE04CB" w:rsidP="00BE04CB">
            <w:pPr>
              <w:pStyle w:val="ListeParagraf"/>
              <w:numPr>
                <w:ilvl w:val="0"/>
                <w:numId w:val="49"/>
              </w:numPr>
              <w:rPr>
                <w:rFonts w:ascii="Tahoma" w:hAnsi="Tahoma" w:cs="Tahoma"/>
                <w:sz w:val="20"/>
                <w:szCs w:val="20"/>
              </w:rPr>
            </w:pPr>
            <w:r w:rsidRPr="00BE04CB">
              <w:rPr>
                <w:rFonts w:ascii="Tahoma" w:hAnsi="Tahoma" w:cs="Tahoma"/>
                <w:b/>
                <w:sz w:val="20"/>
                <w:szCs w:val="20"/>
              </w:rPr>
              <w:t>Okul-aile işbirliği:</w:t>
            </w:r>
            <w:r w:rsidRPr="00BE04CB">
              <w:rPr>
                <w:rFonts w:ascii="Tahoma" w:hAnsi="Tahoma" w:cs="Tahoma"/>
                <w:sz w:val="20"/>
                <w:szCs w:val="20"/>
              </w:rPr>
              <w:t xml:space="preserve"> Öğrencilerin değerler eğitiminde tutarlılık sağlamak adına okul ve aile arasında güçlü bir işbirliği oluşturulmalıdır.</w:t>
            </w:r>
          </w:p>
          <w:p w:rsidR="00BE04CB" w:rsidRPr="00BE04CB" w:rsidRDefault="00BE04CB" w:rsidP="00BE04CB">
            <w:pPr>
              <w:pStyle w:val="ListeParagraf"/>
              <w:numPr>
                <w:ilvl w:val="0"/>
                <w:numId w:val="49"/>
              </w:numPr>
              <w:rPr>
                <w:rFonts w:ascii="Tahoma" w:hAnsi="Tahoma" w:cs="Tahoma"/>
                <w:sz w:val="20"/>
                <w:szCs w:val="20"/>
              </w:rPr>
            </w:pPr>
            <w:r w:rsidRPr="00BE04CB">
              <w:rPr>
                <w:rFonts w:ascii="Tahoma" w:hAnsi="Tahoma" w:cs="Tahoma"/>
                <w:b/>
                <w:sz w:val="20"/>
                <w:szCs w:val="20"/>
              </w:rPr>
              <w:t>Esneklik:</w:t>
            </w:r>
            <w:r w:rsidRPr="00BE04CB">
              <w:rPr>
                <w:rFonts w:ascii="Tahoma" w:hAnsi="Tahoma" w:cs="Tahoma"/>
                <w:sz w:val="20"/>
                <w:szCs w:val="20"/>
              </w:rPr>
              <w:t xml:space="preserve"> Öğretim programı, yerel ihtiyaçlar ve öğrenci özelliklerine göre uyarlanabilmesi için esnek bir yapıya sahip olmalıdır.</w:t>
            </w:r>
          </w:p>
          <w:p w:rsidR="00BE04CB" w:rsidRPr="00BE04CB" w:rsidRDefault="00BE04CB" w:rsidP="00BE04CB">
            <w:pPr>
              <w:pStyle w:val="ListeParagraf"/>
              <w:numPr>
                <w:ilvl w:val="0"/>
                <w:numId w:val="49"/>
              </w:numPr>
              <w:rPr>
                <w:rFonts w:ascii="Tahoma" w:hAnsi="Tahoma" w:cs="Tahoma"/>
                <w:sz w:val="20"/>
                <w:szCs w:val="20"/>
              </w:rPr>
            </w:pPr>
            <w:r w:rsidRPr="00BE04CB">
              <w:rPr>
                <w:rFonts w:ascii="Tahoma" w:hAnsi="Tahoma" w:cs="Tahoma"/>
                <w:b/>
                <w:sz w:val="20"/>
                <w:szCs w:val="20"/>
              </w:rPr>
              <w:t>Sürekli değerlendirme:</w:t>
            </w:r>
            <w:r w:rsidRPr="00BE04CB">
              <w:rPr>
                <w:rFonts w:ascii="Tahoma" w:hAnsi="Tahoma" w:cs="Tahoma"/>
                <w:sz w:val="20"/>
                <w:szCs w:val="20"/>
              </w:rPr>
              <w:t xml:space="preserve"> Programın etkililiği ve öğrenci başarısı düzenli olarak değerlendirilerek gerekli iyileştirmeler yapılmalıdır.</w:t>
            </w:r>
          </w:p>
          <w:p w:rsidR="00BE04CB" w:rsidRPr="00BE04CB" w:rsidRDefault="00BE04CB" w:rsidP="00BE04CB">
            <w:pPr>
              <w:rPr>
                <w:rFonts w:ascii="Tahoma" w:hAnsi="Tahoma" w:cs="Tahoma"/>
                <w:sz w:val="20"/>
                <w:szCs w:val="20"/>
              </w:rPr>
            </w:pPr>
          </w:p>
          <w:p w:rsidR="003043DE" w:rsidRPr="00D92A09" w:rsidRDefault="00BE04CB" w:rsidP="00BE04CB">
            <w:pPr>
              <w:rPr>
                <w:rFonts w:ascii="Tahoma" w:hAnsi="Tahoma" w:cs="Tahoma"/>
                <w:sz w:val="20"/>
                <w:szCs w:val="20"/>
              </w:rPr>
            </w:pPr>
            <w:r w:rsidRPr="00BE04CB">
              <w:rPr>
                <w:rFonts w:ascii="Tahoma" w:hAnsi="Tahoma" w:cs="Tahoma"/>
                <w:sz w:val="20"/>
                <w:szCs w:val="20"/>
              </w:rPr>
              <w:t>Yeni Din Kültürü ve Ahlak Bilgisi Öğretim Programı, öğrencilerin bilgi, beceri ve değerlerle donanmış bireyler olarak yetişmelerine katkı sağlayacak önemli bir adım olarak değerlendirilmektedir. Programın başarılı olabilmesi için yukarıda belirtilen öneriler doğrultusunda gerekli çalışmaların yapılması önem arz etmektedir.</w:t>
            </w:r>
          </w:p>
        </w:tc>
      </w:tr>
    </w:tbl>
    <w:p w:rsidR="005A2692" w:rsidRDefault="005A2692"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A89"/>
    <w:multiLevelType w:val="hybridMultilevel"/>
    <w:tmpl w:val="B4303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67389F"/>
    <w:multiLevelType w:val="hybridMultilevel"/>
    <w:tmpl w:val="C01A1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64D3D"/>
    <w:multiLevelType w:val="hybridMultilevel"/>
    <w:tmpl w:val="DD6AD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B00D0C"/>
    <w:multiLevelType w:val="hybridMultilevel"/>
    <w:tmpl w:val="693A4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AF2B13"/>
    <w:multiLevelType w:val="hybridMultilevel"/>
    <w:tmpl w:val="73F28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D8440A"/>
    <w:multiLevelType w:val="hybridMultilevel"/>
    <w:tmpl w:val="C96A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F81153"/>
    <w:multiLevelType w:val="hybridMultilevel"/>
    <w:tmpl w:val="92D0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16158F"/>
    <w:multiLevelType w:val="hybridMultilevel"/>
    <w:tmpl w:val="9EF6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DD36AD2"/>
    <w:multiLevelType w:val="hybridMultilevel"/>
    <w:tmpl w:val="B290B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5F0221"/>
    <w:multiLevelType w:val="hybridMultilevel"/>
    <w:tmpl w:val="B3684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D52450"/>
    <w:multiLevelType w:val="hybridMultilevel"/>
    <w:tmpl w:val="9D1826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7E0B67"/>
    <w:multiLevelType w:val="hybridMultilevel"/>
    <w:tmpl w:val="48787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8487248"/>
    <w:multiLevelType w:val="hybridMultilevel"/>
    <w:tmpl w:val="068A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0164F9"/>
    <w:multiLevelType w:val="hybridMultilevel"/>
    <w:tmpl w:val="F97CB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9D44FB"/>
    <w:multiLevelType w:val="hybridMultilevel"/>
    <w:tmpl w:val="30221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1232A"/>
    <w:multiLevelType w:val="hybridMultilevel"/>
    <w:tmpl w:val="5F84C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8B45D5"/>
    <w:multiLevelType w:val="hybridMultilevel"/>
    <w:tmpl w:val="A50AF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177B30"/>
    <w:multiLevelType w:val="hybridMultilevel"/>
    <w:tmpl w:val="7DAA8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F312C5"/>
    <w:multiLevelType w:val="hybridMultilevel"/>
    <w:tmpl w:val="86C24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A82BA0"/>
    <w:multiLevelType w:val="hybridMultilevel"/>
    <w:tmpl w:val="82FA2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6CA2881"/>
    <w:multiLevelType w:val="hybridMultilevel"/>
    <w:tmpl w:val="3924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5B550C"/>
    <w:multiLevelType w:val="hybridMultilevel"/>
    <w:tmpl w:val="053C1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770725"/>
    <w:multiLevelType w:val="hybridMultilevel"/>
    <w:tmpl w:val="8626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7BD0DAF"/>
    <w:multiLevelType w:val="hybridMultilevel"/>
    <w:tmpl w:val="3FE6E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BD51D47"/>
    <w:multiLevelType w:val="hybridMultilevel"/>
    <w:tmpl w:val="BC8A6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44A1AF2"/>
    <w:multiLevelType w:val="hybridMultilevel"/>
    <w:tmpl w:val="DE5C0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6FE31C7"/>
    <w:multiLevelType w:val="hybridMultilevel"/>
    <w:tmpl w:val="BDBEA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7CF1A46"/>
    <w:multiLevelType w:val="hybridMultilevel"/>
    <w:tmpl w:val="4E92B8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7D0264F"/>
    <w:multiLevelType w:val="hybridMultilevel"/>
    <w:tmpl w:val="AE56AA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F676A75"/>
    <w:multiLevelType w:val="hybridMultilevel"/>
    <w:tmpl w:val="C1DC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40"/>
  </w:num>
  <w:num w:numId="4">
    <w:abstractNumId w:val="15"/>
  </w:num>
  <w:num w:numId="5">
    <w:abstractNumId w:val="25"/>
  </w:num>
  <w:num w:numId="6">
    <w:abstractNumId w:val="32"/>
  </w:num>
  <w:num w:numId="7">
    <w:abstractNumId w:val="10"/>
  </w:num>
  <w:num w:numId="8">
    <w:abstractNumId w:val="14"/>
  </w:num>
  <w:num w:numId="9">
    <w:abstractNumId w:val="41"/>
  </w:num>
  <w:num w:numId="10">
    <w:abstractNumId w:val="34"/>
  </w:num>
  <w:num w:numId="11">
    <w:abstractNumId w:val="30"/>
  </w:num>
  <w:num w:numId="12">
    <w:abstractNumId w:val="12"/>
  </w:num>
  <w:num w:numId="13">
    <w:abstractNumId w:val="47"/>
  </w:num>
  <w:num w:numId="14">
    <w:abstractNumId w:val="7"/>
  </w:num>
  <w:num w:numId="15">
    <w:abstractNumId w:val="27"/>
  </w:num>
  <w:num w:numId="16">
    <w:abstractNumId w:val="4"/>
  </w:num>
  <w:num w:numId="17">
    <w:abstractNumId w:val="19"/>
  </w:num>
  <w:num w:numId="18">
    <w:abstractNumId w:val="28"/>
  </w:num>
  <w:num w:numId="19">
    <w:abstractNumId w:val="11"/>
  </w:num>
  <w:num w:numId="20">
    <w:abstractNumId w:val="1"/>
  </w:num>
  <w:num w:numId="21">
    <w:abstractNumId w:val="38"/>
  </w:num>
  <w:num w:numId="22">
    <w:abstractNumId w:val="9"/>
  </w:num>
  <w:num w:numId="23">
    <w:abstractNumId w:val="48"/>
  </w:num>
  <w:num w:numId="24">
    <w:abstractNumId w:val="24"/>
  </w:num>
  <w:num w:numId="25">
    <w:abstractNumId w:val="33"/>
  </w:num>
  <w:num w:numId="26">
    <w:abstractNumId w:val="2"/>
  </w:num>
  <w:num w:numId="27">
    <w:abstractNumId w:val="20"/>
  </w:num>
  <w:num w:numId="28">
    <w:abstractNumId w:val="37"/>
  </w:num>
  <w:num w:numId="29">
    <w:abstractNumId w:val="8"/>
  </w:num>
  <w:num w:numId="30">
    <w:abstractNumId w:val="6"/>
  </w:num>
  <w:num w:numId="31">
    <w:abstractNumId w:val="0"/>
  </w:num>
  <w:num w:numId="32">
    <w:abstractNumId w:val="26"/>
  </w:num>
  <w:num w:numId="33">
    <w:abstractNumId w:val="46"/>
  </w:num>
  <w:num w:numId="34">
    <w:abstractNumId w:val="36"/>
  </w:num>
  <w:num w:numId="35">
    <w:abstractNumId w:val="44"/>
  </w:num>
  <w:num w:numId="36">
    <w:abstractNumId w:val="29"/>
  </w:num>
  <w:num w:numId="37">
    <w:abstractNumId w:val="22"/>
  </w:num>
  <w:num w:numId="38">
    <w:abstractNumId w:val="13"/>
  </w:num>
  <w:num w:numId="39">
    <w:abstractNumId w:val="42"/>
  </w:num>
  <w:num w:numId="40">
    <w:abstractNumId w:val="39"/>
  </w:num>
  <w:num w:numId="41">
    <w:abstractNumId w:val="43"/>
  </w:num>
  <w:num w:numId="42">
    <w:abstractNumId w:val="18"/>
  </w:num>
  <w:num w:numId="43">
    <w:abstractNumId w:val="3"/>
  </w:num>
  <w:num w:numId="44">
    <w:abstractNumId w:val="5"/>
  </w:num>
  <w:num w:numId="45">
    <w:abstractNumId w:val="21"/>
  </w:num>
  <w:num w:numId="46">
    <w:abstractNumId w:val="45"/>
  </w:num>
  <w:num w:numId="47">
    <w:abstractNumId w:val="23"/>
  </w:num>
  <w:num w:numId="48">
    <w:abstractNumId w:val="1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40042C"/>
    <w:rsid w:val="00475AC3"/>
    <w:rsid w:val="0055317C"/>
    <w:rsid w:val="0058459F"/>
    <w:rsid w:val="00597EB1"/>
    <w:rsid w:val="005A2692"/>
    <w:rsid w:val="005D1ED4"/>
    <w:rsid w:val="005E70D9"/>
    <w:rsid w:val="00606C1A"/>
    <w:rsid w:val="006562FA"/>
    <w:rsid w:val="00721380"/>
    <w:rsid w:val="00776FED"/>
    <w:rsid w:val="007A394C"/>
    <w:rsid w:val="007F66F5"/>
    <w:rsid w:val="008536A1"/>
    <w:rsid w:val="008815BF"/>
    <w:rsid w:val="00893DB1"/>
    <w:rsid w:val="009100D9"/>
    <w:rsid w:val="009A53E7"/>
    <w:rsid w:val="00A63861"/>
    <w:rsid w:val="00BB5468"/>
    <w:rsid w:val="00BE04CB"/>
    <w:rsid w:val="00C20036"/>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1EF7-C6A2-42B2-8D88-4F581EAB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5991</Characters>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2024-06-16T17:16:00Z</dcterms:created>
  <dcterms:modified xsi:type="dcterms:W3CDTF">2024-06-22T10:35:00Z</dcterms:modified>
</cp:coreProperties>
</file>