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Tahoma" w:hAnsi="Tahoma" w:cs="Tahoma"/>
          <w:b/>
        </w:rPr>
      </w:pPr>
      <w:r w:rsidRPr="001905B0">
        <w:rPr>
          <w:rFonts w:ascii="Tahoma" w:hAnsi="Tahoma" w:cs="Tahoma"/>
          <w:b/>
        </w:rPr>
        <w:t>TÜRKİYE YÜZYILI MAARİF MODELİ ÖĞRETİM PROGRAMI İNCELEME FORMU EK-2</w:t>
      </w:r>
    </w:p>
    <w:p w:rsidR="001905B0" w:rsidRP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</w:p>
    <w:p w:rsidR="001905B0" w:rsidRPr="001905B0" w:rsidRDefault="001905B0" w:rsidP="001905B0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Yüzyılı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-1"/>
          <w:sz w:val="24"/>
        </w:rPr>
        <w:t>değişen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her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 değerlendirilmesi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için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tasarlanmıştır.</w:t>
      </w:r>
    </w:p>
    <w:p w:rsidR="001905B0" w:rsidRPr="001905B0" w:rsidRDefault="001905B0" w:rsidP="001905B0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49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Yüzyılı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27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değişen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her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için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 xml:space="preserve">o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öğretmenleri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tarafından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doldurulacaktır.</w:t>
      </w:r>
    </w:p>
    <w:p w:rsidR="001905B0" w:rsidRPr="001905B0" w:rsidRDefault="001905B0" w:rsidP="001905B0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51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z w:val="24"/>
        </w:rPr>
        <w:t>Formda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pacing w:val="-2"/>
          <w:sz w:val="24"/>
        </w:rPr>
        <w:t>yer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değerlendirmeler,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28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Haziran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2024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tarihi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mesai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bitimine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kadar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 xml:space="preserve">başkanının </w:t>
      </w:r>
      <w:r w:rsidRPr="001905B0">
        <w:rPr>
          <w:rFonts w:ascii="MFQSJS+TimesNewRomanPSMT"/>
          <w:color w:val="000000"/>
          <w:sz w:val="24"/>
        </w:rPr>
        <w:t>koordinesinde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veri.meb.gov.tr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adresine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işlenecektir.</w:t>
      </w:r>
    </w:p>
    <w:p w:rsidR="005A2692" w:rsidRDefault="005A2692" w:rsidP="005A2692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4"/>
        <w:gridCol w:w="2909"/>
        <w:gridCol w:w="6051"/>
      </w:tblGrid>
      <w:tr w:rsidR="005A2692" w:rsidTr="002A1CED">
        <w:trPr>
          <w:trHeight w:val="659"/>
        </w:trPr>
        <w:tc>
          <w:tcPr>
            <w:tcW w:w="9634" w:type="dxa"/>
            <w:gridSpan w:val="3"/>
            <w:vAlign w:val="center"/>
          </w:tcPr>
          <w:p w:rsidR="005A2692" w:rsidRDefault="001905B0" w:rsidP="005A26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4"/>
                <w:szCs w:val="24"/>
              </w:rPr>
              <w:t>TÜRKİYE YÜZYILI MAARİF MODELİ ÖĞRETİM PROGRAMI İNCELEME FORMU</w:t>
            </w:r>
          </w:p>
        </w:tc>
      </w:tr>
      <w:tr w:rsidR="001905B0" w:rsidTr="002A1CED">
        <w:trPr>
          <w:trHeight w:val="659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Zümre Adı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04486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 xml:space="preserve">İlkokul </w:t>
            </w:r>
            <w:r w:rsidR="00044864">
              <w:rPr>
                <w:rFonts w:ascii="Tahoma" w:hAnsi="Tahoma" w:cs="Tahoma"/>
                <w:b/>
                <w:sz w:val="24"/>
                <w:szCs w:val="24"/>
              </w:rPr>
              <w:t>İnsan Hakları, Vatandaşlık ve Demokrasi</w:t>
            </w:r>
            <w:r w:rsidRPr="001905B0">
              <w:rPr>
                <w:rFonts w:ascii="Tahoma" w:hAnsi="Tahoma" w:cs="Tahoma"/>
                <w:b/>
                <w:sz w:val="24"/>
                <w:szCs w:val="24"/>
              </w:rPr>
              <w:t xml:space="preserve"> Zümresi</w:t>
            </w:r>
          </w:p>
        </w:tc>
      </w:tr>
      <w:tr w:rsidR="005A2692" w:rsidTr="002A1CED">
        <w:trPr>
          <w:trHeight w:val="894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Zümrede Yer Alan Öğretmen</w:t>
            </w:r>
          </w:p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Bilgileri (T.C. Kimlik Numarası,</w:t>
            </w:r>
          </w:p>
          <w:p w:rsidR="005A2692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</w:rPr>
              <w:t>Adı, Soyadı, Branşı)</w:t>
            </w:r>
          </w:p>
        </w:tc>
        <w:tc>
          <w:tcPr>
            <w:tcW w:w="6051" w:type="dxa"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2692" w:rsidTr="002A1CED">
        <w:trPr>
          <w:trHeight w:val="577"/>
        </w:trPr>
        <w:tc>
          <w:tcPr>
            <w:tcW w:w="9634" w:type="dxa"/>
            <w:gridSpan w:val="3"/>
            <w:vAlign w:val="center"/>
          </w:tcPr>
          <w:p w:rsidR="005A2692" w:rsidRPr="005A2692" w:rsidRDefault="001905B0" w:rsidP="005A2692">
            <w:pPr>
              <w:jc w:val="center"/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TÜRKİYE YÜZYILI MAARİF MODELİ ÖĞRETİM PROGRAMINA İLİŞKİN BÖLÜMLER</w:t>
            </w:r>
          </w:p>
        </w:tc>
      </w:tr>
      <w:tr w:rsidR="005A2692" w:rsidTr="002A1CED">
        <w:trPr>
          <w:trHeight w:val="983"/>
        </w:trPr>
        <w:tc>
          <w:tcPr>
            <w:tcW w:w="674" w:type="dxa"/>
            <w:vMerge w:val="restart"/>
            <w:vAlign w:val="center"/>
          </w:tcPr>
          <w:p w:rsidR="005A2692" w:rsidRPr="00776FED" w:rsidRDefault="005A2692" w:rsidP="005A269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5A2692" w:rsidRPr="00776FED" w:rsidRDefault="005A2692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76FED">
              <w:rPr>
                <w:rFonts w:ascii="Tahoma" w:hAnsi="Tahoma" w:cs="Tahoma"/>
                <w:b/>
                <w:sz w:val="20"/>
                <w:szCs w:val="20"/>
              </w:rPr>
              <w:t>Öğretim Programlarının</w:t>
            </w:r>
          </w:p>
          <w:p w:rsidR="005A2692" w:rsidRDefault="001905B0" w:rsidP="005A26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Felsefesi</w:t>
            </w:r>
          </w:p>
        </w:tc>
        <w:tc>
          <w:tcPr>
            <w:tcW w:w="6051" w:type="dxa"/>
            <w:vAlign w:val="center"/>
          </w:tcPr>
          <w:p w:rsidR="005A2692" w:rsidRPr="005A2692" w:rsidRDefault="001905B0" w:rsidP="005A2692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Öğretim programının felsefesinde önemli gördüğünüz hususlar nelerdir? Lütfen özet hâlinde belirtiniz.</w:t>
            </w:r>
          </w:p>
        </w:tc>
      </w:tr>
      <w:tr w:rsidR="005A2692" w:rsidTr="002A1CED">
        <w:trPr>
          <w:trHeight w:val="1691"/>
        </w:trPr>
        <w:tc>
          <w:tcPr>
            <w:tcW w:w="674" w:type="dxa"/>
            <w:vMerge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44864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sz w:val="20"/>
                <w:szCs w:val="20"/>
              </w:rPr>
              <w:t>Yeni programın felsefesinde öne çıkan hususlar şunlardır:</w:t>
            </w:r>
          </w:p>
          <w:p w:rsidR="00044864" w:rsidRPr="00044864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Bütüncül Yaklaşım: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Öğrencinin akademik gelişiminin yanı sıra sosyal, duygusal, ahlaki ve kültürel gelişimini de önemseyen bütüncül bir yaklaşım benimsenmiştir.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Değerler Odaklılık: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Öğrencilere sadece bilgi aktarımı değil, aynı zamanda insan hakları, yurttaşlık ve demokrasi bilincini içselleştirmelerini sağlayacak değerlerin kazandırılması hedeflenmektedir.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Aktif Öğrenme: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Öğrenciyi merkeze alan, sorgulamaya ve eleştirel düşünmeye teşvik eden, iş birliğine dayalı aktif öğrenme yöntemleri ön plana çıkarılmıştır.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Gerçek Hayat Bağlantısı: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Öğrenilenlerin günlük hayatta somutlaşmasını sağlayacak, gerçek hayat durumları ve uygulamalarına yer verilmiştir.</w:t>
            </w:r>
          </w:p>
          <w:p w:rsidR="00BB5468" w:rsidRPr="00BB5468" w:rsidRDefault="00044864" w:rsidP="00044864">
            <w:pPr>
              <w:pStyle w:val="ListeParagraf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Farklılıklara Saygı: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Her öğrencinin bireysel özelliklerini, öğrenme hızını ve stilini dikkate alan, farklılaştırılmış öğretim uygulamalarına imkân tanıyan bir anlayış benimsenmiştir.</w:t>
            </w:r>
          </w:p>
        </w:tc>
      </w:tr>
      <w:tr w:rsidR="0040042C" w:rsidTr="002A1CED">
        <w:tc>
          <w:tcPr>
            <w:tcW w:w="674" w:type="dxa"/>
            <w:vMerge w:val="restart"/>
            <w:vAlign w:val="center"/>
          </w:tcPr>
          <w:p w:rsidR="0040042C" w:rsidRPr="00776FED" w:rsidRDefault="0040042C" w:rsidP="0040042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Ünite/Tema/Öğrenme</w:t>
            </w:r>
          </w:p>
          <w:p w:rsidR="0040042C" w:rsidRPr="00776FED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Alanı</w:t>
            </w:r>
          </w:p>
        </w:tc>
        <w:tc>
          <w:tcPr>
            <w:tcW w:w="6051" w:type="dxa"/>
            <w:vAlign w:val="center"/>
          </w:tcPr>
          <w:p w:rsidR="0040042C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Ünite/Tema/Öğrenme alanlarının sıralamasının uygunluğunu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değerlendiriniz. Bir önceki programa göre temel farklılıkları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40042C" w:rsidTr="002A1CED">
        <w:trPr>
          <w:trHeight w:val="961"/>
        </w:trPr>
        <w:tc>
          <w:tcPr>
            <w:tcW w:w="674" w:type="dxa"/>
            <w:vMerge/>
            <w:vAlign w:val="center"/>
          </w:tcPr>
          <w:p w:rsidR="0040042C" w:rsidRDefault="0040042C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44864" w:rsidRPr="00044864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sz w:val="20"/>
                <w:szCs w:val="20"/>
              </w:rPr>
              <w:t>Yeni programda, eski programdaki ünite yapısı yerine "Öğrenme Alanları" kullanılmıştır.</w:t>
            </w:r>
          </w:p>
          <w:p w:rsidR="00044864" w:rsidRPr="0004486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Temel Farklılıklar: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Çocuk Haklarına Odaklanma: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Yeni program "Çocuk Olarak Haklarımla Varım" öğrenme alanıyla başlamakta ve çocuk haklarına daha fazla vurgu yapmaktadır.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Eşitlik ve Adalet Vurgusu: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"Hayatımda Eşitlik ve Adalet" adlı yeni bir öğrenme alanı eklenerek eşitlik ve adalet kavramları daha detaylı ele alınmıştır.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Dijital Vatandaşlık: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"Etkin Bir Vatandaşım" öğrenme alanında dijital vatandaşlığın gerektirdiği özellikler üzerinde durulmuştur.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Demokrasi Vurgusu: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Son öğrenme alanı olan "Hayatımda Demokrasi" ile demokratik değerler, seçme ve seçilme hakkı gibi konulara daha fazla yer verilmiştir.</w:t>
            </w:r>
          </w:p>
          <w:p w:rsidR="00597EB1" w:rsidRPr="00893DB1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sz w:val="20"/>
                <w:szCs w:val="20"/>
              </w:rPr>
              <w:t>Genel olarak sıralama, öğrencilerin gelişim düzeyine uygun bir şekilde, basitten karmaşığa doğru ilerlemektedir.</w:t>
            </w:r>
          </w:p>
        </w:tc>
      </w:tr>
      <w:tr w:rsidR="00FB7606" w:rsidTr="002A1CED">
        <w:trPr>
          <w:trHeight w:val="698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909" w:type="dxa"/>
            <w:vAlign w:val="center"/>
          </w:tcPr>
          <w:p w:rsidR="00FB7606" w:rsidRPr="0040042C" w:rsidRDefault="001905B0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05B0">
              <w:rPr>
                <w:rFonts w:ascii="Tahoma" w:hAnsi="Tahoma" w:cs="Tahoma"/>
                <w:b/>
                <w:sz w:val="20"/>
                <w:szCs w:val="20"/>
              </w:rPr>
              <w:t>İçerik Çerçevesi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Önceki programdan farklı olarak eklenen/kaldırılan içerikler nelerdir?</w:t>
            </w:r>
          </w:p>
          <w:p w:rsidR="00FB7606" w:rsidRPr="0040042C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Lütfen başlıklar hâlinde belirtiniz</w:t>
            </w:r>
          </w:p>
        </w:tc>
      </w:tr>
      <w:tr w:rsidR="00FB7606" w:rsidTr="002A1CED">
        <w:trPr>
          <w:trHeight w:val="1059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44864" w:rsidRPr="0004486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Eklenen İçerikler:</w:t>
            </w:r>
          </w:p>
          <w:p w:rsidR="00044864" w:rsidRPr="00044864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4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Öğrencilerin sosyal farkındalık, </w:t>
            </w:r>
            <w:proofErr w:type="gramStart"/>
            <w:r w:rsidRPr="00044864">
              <w:rPr>
                <w:rFonts w:ascii="Tahoma" w:hAnsi="Tahoma" w:cs="Tahoma"/>
                <w:sz w:val="20"/>
                <w:szCs w:val="20"/>
              </w:rPr>
              <w:t>empati</w:t>
            </w:r>
            <w:proofErr w:type="gramEnd"/>
            <w:r w:rsidRPr="00044864">
              <w:rPr>
                <w:rFonts w:ascii="Tahoma" w:hAnsi="Tahoma" w:cs="Tahoma"/>
                <w:sz w:val="20"/>
                <w:szCs w:val="20"/>
              </w:rPr>
              <w:t>, sorumlu karar verme gibi becerilerle donatılması.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4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Dijital Okuryazarlık: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Dijital dünyada güvenli ve bilinçli bireyler yetiştirme amacı.</w:t>
            </w:r>
          </w:p>
          <w:p w:rsidR="00044864" w:rsidRPr="00044864" w:rsidRDefault="00044864" w:rsidP="00044864">
            <w:pPr>
              <w:pStyle w:val="ListeParagraf"/>
              <w:numPr>
                <w:ilvl w:val="0"/>
                <w:numId w:val="44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Öğrenci Merkezli Öğrenme: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Aktif katılım ve iş birliğine dayalı öğrenme yöntemlerinin vurgulanması.</w:t>
            </w:r>
          </w:p>
          <w:p w:rsidR="0004486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4864" w:rsidRPr="0004486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Kaldırılan İçerikler:</w:t>
            </w:r>
          </w:p>
          <w:p w:rsidR="00044864" w:rsidRPr="00044864" w:rsidRDefault="00044864" w:rsidP="0004486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453A6" w:rsidRPr="00044864" w:rsidRDefault="00044864" w:rsidP="00044864">
            <w:pPr>
              <w:pStyle w:val="ListeParagraf"/>
              <w:numPr>
                <w:ilvl w:val="0"/>
                <w:numId w:val="43"/>
              </w:numPr>
              <w:rPr>
                <w:rFonts w:ascii="Tahoma" w:hAnsi="Tahoma" w:cs="Tahoma"/>
                <w:sz w:val="20"/>
                <w:szCs w:val="20"/>
              </w:rPr>
            </w:pPr>
            <w:r w:rsidRPr="00044864">
              <w:rPr>
                <w:rFonts w:ascii="Tahoma" w:hAnsi="Tahoma" w:cs="Tahoma"/>
                <w:b/>
                <w:sz w:val="20"/>
                <w:szCs w:val="20"/>
              </w:rPr>
              <w:t>Genel ve Yüzeysel Yaklaşımlar:</w:t>
            </w:r>
            <w:r w:rsidRPr="00044864">
              <w:rPr>
                <w:rFonts w:ascii="Tahoma" w:hAnsi="Tahoma" w:cs="Tahoma"/>
                <w:sz w:val="20"/>
                <w:szCs w:val="20"/>
              </w:rPr>
              <w:t xml:space="preserve"> Eski programdaki daha genel ve yüzeysel yaklaşımlar yerini daha </w:t>
            </w:r>
            <w:proofErr w:type="gramStart"/>
            <w:r w:rsidRPr="00044864">
              <w:rPr>
                <w:rFonts w:ascii="Tahoma" w:hAnsi="Tahoma" w:cs="Tahoma"/>
                <w:sz w:val="20"/>
                <w:szCs w:val="20"/>
              </w:rPr>
              <w:t>spesifik</w:t>
            </w:r>
            <w:proofErr w:type="gramEnd"/>
            <w:r w:rsidRPr="00044864">
              <w:rPr>
                <w:rFonts w:ascii="Tahoma" w:hAnsi="Tahoma" w:cs="Tahoma"/>
                <w:sz w:val="20"/>
                <w:szCs w:val="20"/>
              </w:rPr>
              <w:t xml:space="preserve"> ve derinlemesine işlenen konulara bırakmıştır.</w:t>
            </w:r>
          </w:p>
        </w:tc>
      </w:tr>
      <w:tr w:rsidR="00FB7606" w:rsidTr="002A1CED">
        <w:trPr>
          <w:trHeight w:val="624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909" w:type="dxa"/>
            <w:vAlign w:val="center"/>
          </w:tcPr>
          <w:p w:rsidR="00FB7606" w:rsidRPr="0040042C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Öğrenme Kanıtları (</w:t>
            </w:r>
            <w:proofErr w:type="gramStart"/>
            <w:r w:rsidRPr="007A394C">
              <w:rPr>
                <w:rFonts w:ascii="Tahoma" w:hAnsi="Tahoma" w:cs="Tahoma"/>
                <w:b/>
                <w:sz w:val="20"/>
                <w:szCs w:val="20"/>
              </w:rPr>
              <w:t>Ölçme  ve</w:t>
            </w:r>
            <w:proofErr w:type="gramEnd"/>
            <w:r w:rsidRPr="007A394C">
              <w:rPr>
                <w:rFonts w:ascii="Tahoma" w:hAnsi="Tahoma" w:cs="Tahoma"/>
                <w:b/>
                <w:sz w:val="20"/>
                <w:szCs w:val="20"/>
              </w:rPr>
              <w:t xml:space="preserve"> Değerlendirme)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40042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Ölçme ve değerlendirme alanında önceki program ile Maarif Modeli arasındaki farklılıklar nelerdir? Öğretim programınızdan bir öğrenme çıktısı seçerek ölçme ve değerlendirmenin nasıl uygulandığını tartışarak ortaya çıkan görüşleri lütfen özetleyiniz.</w:t>
            </w:r>
          </w:p>
        </w:tc>
      </w:tr>
      <w:tr w:rsidR="00FB7606" w:rsidTr="002A1CED">
        <w:trPr>
          <w:trHeight w:val="76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44864" w:rsidRPr="00B3598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Farklılıklar:</w:t>
            </w:r>
          </w:p>
          <w:p w:rsidR="00044864" w:rsidRPr="00B35984" w:rsidRDefault="00044864" w:rsidP="00B35984">
            <w:pPr>
              <w:pStyle w:val="ListeParagraf"/>
              <w:numPr>
                <w:ilvl w:val="0"/>
                <w:numId w:val="43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Biçimlendirici Değerlendirme: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Yeni programda, öğrenme sürecini izleme ve öğrencilere geri bildirim verme amacıyla biçimlendirici değerlendirme daha çok vurgulanmaktadır.</w:t>
            </w:r>
          </w:p>
          <w:p w:rsidR="00044864" w:rsidRPr="00B35984" w:rsidRDefault="00044864" w:rsidP="00B35984">
            <w:pPr>
              <w:pStyle w:val="ListeParagraf"/>
              <w:numPr>
                <w:ilvl w:val="0"/>
                <w:numId w:val="43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Süreç Odaklılık: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Sadece sonuca değil, öğrenme sürecine de odaklanan, öğrencinin gelişimini bütüncül bir şekilde değerlendiren yöntemler önerilmektedir.</w:t>
            </w:r>
          </w:p>
          <w:p w:rsidR="00044864" w:rsidRPr="00B35984" w:rsidRDefault="00044864" w:rsidP="00B35984">
            <w:pPr>
              <w:pStyle w:val="ListeParagraf"/>
              <w:numPr>
                <w:ilvl w:val="0"/>
                <w:numId w:val="43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Çeşitli Ölçme Araçları: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Öğrenme çıktılarının özelliklerine göre performans değerlendirmeye yönelik farklı ölçme araçları (gözlem formu, kontrol listesi, performans görevi vb.) kullanılabilmektedir.</w:t>
            </w:r>
          </w:p>
          <w:p w:rsidR="00B35984" w:rsidRPr="00044864" w:rsidRDefault="00B35984" w:rsidP="0004486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4864" w:rsidRPr="00B3598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Öğrenm</w:t>
            </w:r>
            <w:r w:rsidR="00B35984">
              <w:rPr>
                <w:rFonts w:ascii="Tahoma" w:hAnsi="Tahoma" w:cs="Tahoma"/>
                <w:b/>
                <w:sz w:val="20"/>
                <w:szCs w:val="20"/>
              </w:rPr>
              <w:t>e Çıktısı Örneği (İHVD.4.2.1</w:t>
            </w:r>
            <w:r w:rsidR="00B35984" w:rsidRPr="00B35984">
              <w:rPr>
                <w:rFonts w:ascii="Tahoma" w:hAnsi="Tahoma" w:cs="Tahoma"/>
                <w:b/>
                <w:sz w:val="20"/>
                <w:szCs w:val="20"/>
              </w:rPr>
              <w:t xml:space="preserve">.) </w:t>
            </w:r>
            <w:r w:rsidRPr="00B35984">
              <w:rPr>
                <w:rFonts w:ascii="Tahoma" w:hAnsi="Tahoma" w:cs="Tahoma"/>
                <w:b/>
                <w:sz w:val="20"/>
                <w:szCs w:val="20"/>
              </w:rPr>
              <w:t>Eşitlik kavramının anlamını sorgulayabilme.</w:t>
            </w:r>
          </w:p>
          <w:p w:rsidR="00044864" w:rsidRPr="00B35984" w:rsidRDefault="00044864" w:rsidP="0004486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Ölçme ve Değerlendirme:</w:t>
            </w:r>
          </w:p>
          <w:p w:rsidR="00044864" w:rsidRPr="00B35984" w:rsidRDefault="00044864" w:rsidP="00B35984">
            <w:pPr>
              <w:pStyle w:val="ListeParagraf"/>
              <w:numPr>
                <w:ilvl w:val="0"/>
                <w:numId w:val="45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Ön Değerlendirme: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Öğrencilere eşitlikle ilgili ne bildikleri sorularak ön bilgileri tespit edilir.</w:t>
            </w:r>
          </w:p>
          <w:p w:rsidR="00044864" w:rsidRPr="00B35984" w:rsidRDefault="00044864" w:rsidP="00B35984">
            <w:pPr>
              <w:pStyle w:val="ListeParagraf"/>
              <w:numPr>
                <w:ilvl w:val="0"/>
                <w:numId w:val="45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Süreç İzleme: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Tartışmalar, grup çalışmaları ve öğrenci ürünlerinde eşitlik kavramına dair sorgulamalar gözlemlenir.</w:t>
            </w:r>
          </w:p>
          <w:p w:rsidR="003453A6" w:rsidRPr="00B35984" w:rsidRDefault="00044864" w:rsidP="00B35984">
            <w:pPr>
              <w:pStyle w:val="ListeParagraf"/>
              <w:numPr>
                <w:ilvl w:val="0"/>
                <w:numId w:val="45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Son Değerlendirme: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Öğrencilere eşitliğin sağlandığı ve sağlanmadığı durumları içeren bir senaryo verilir ve kendi çözüm önerilerini oluşturmaları istenir. Bu ürün, bütüncül dereceli puanlama anahtarı ile değerlendirilebilir.</w:t>
            </w:r>
          </w:p>
        </w:tc>
      </w:tr>
      <w:tr w:rsidR="00FB7606" w:rsidTr="002A1CED">
        <w:tc>
          <w:tcPr>
            <w:tcW w:w="674" w:type="dxa"/>
            <w:vMerge w:val="restart"/>
            <w:vAlign w:val="center"/>
          </w:tcPr>
          <w:p w:rsidR="00FB7606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Öğretme-Öğrenme</w:t>
            </w:r>
          </w:p>
          <w:p w:rsidR="00FB7606" w:rsidRPr="0040042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Yaşantıları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Öğretim programınızdan bir ünite/tema/öğrenme alanı seçerek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program bileşenlerinin (erdem-değer-eylem modeli, okuryazarlık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becerileri, sosyal-duygusal öğrenme becerileri) nasıl işlendiğine dair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görüşlerinizi kısaca ifade ediniz.</w:t>
            </w:r>
          </w:p>
        </w:tc>
      </w:tr>
      <w:tr w:rsidR="00FB7606" w:rsidTr="002A1CED">
        <w:trPr>
          <w:trHeight w:val="87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B35984" w:rsidRDefault="00B35984" w:rsidP="00B359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(Öğrenme Alanı: Etkin Bir Vatandaşım):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Erdem-Değer-Eylem: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6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Erdem: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Dürüstlük, sorumluluk, saygı, yardımseverlik.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6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Değer: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Vatandaşlık bilinci, toplumsal fayda.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6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Eylem: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Vergi ödeme, oy kullanma, yardım faaliyetlerine katılma, dijital ortamları sorumlu kullanma.</w:t>
            </w:r>
          </w:p>
          <w:p w:rsidR="00B35984" w:rsidRPr="00B35984" w:rsidRDefault="00B35984" w:rsidP="00B359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Okuryazarlık Becerileri: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7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Dijital Vatandaşlık kapsamında eleştirel düşünme, bilgiye erişim, bilgiyi değerlendirme ve kullanma becerileri.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7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Vatandaşlık Okuryazarlığı kapsamında hak ve sorumluluklarını bilme, demokratik katılım becerileri.</w:t>
            </w:r>
          </w:p>
          <w:p w:rsidR="00B35984" w:rsidRPr="00B35984" w:rsidRDefault="00B35984" w:rsidP="00B359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Etkin vatandaşlık sorumluluklarını yerine getirirken iş birliği, iletişim, sosyal farkındalık, sorumlu karar verme becerileri.</w:t>
            </w:r>
          </w:p>
          <w:p w:rsidR="00FB7606" w:rsidRPr="00B35984" w:rsidRDefault="00B35984" w:rsidP="00B35984">
            <w:p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Bu öğrenme alanında, program bileşenleri birbirini tamamlayıcı ve destekleyici bir şekilde ele alınarak öğrencilerin çok yönlü gelişimine katkı sağlanması hedeflenmektedir.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909" w:type="dxa"/>
            <w:vAlign w:val="center"/>
          </w:tcPr>
          <w:p w:rsidR="003043DE" w:rsidRPr="00FB7606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Farklılaştırma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Farklılaştırma türlerini tartışınız. Dersin işlenişinde zenginleştirme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ve/veya destekleme gerektirecek durumların neler olabileceğini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3043DE" w:rsidTr="002A1CED">
        <w:trPr>
          <w:trHeight w:val="1237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B35984" w:rsidRPr="00B35984" w:rsidRDefault="00B35984" w:rsidP="00B359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Zenginleştirme: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Konuya ilgi duyan ve daha hızlı öğrenen öğrenciler için ek araştırmalar, projeler, yaratıcı drama etkinlikleri.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8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Öğrencilerin kendi ilgi alanlarına göre derinlemesine inceleme yapmaları için fırsatlar sunma.</w:t>
            </w:r>
          </w:p>
          <w:p w:rsidR="00B35984" w:rsidRPr="00B35984" w:rsidRDefault="00B35984" w:rsidP="00B359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Destekleme: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49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>Öğrenme güçlüğü çeken öğrenciler için görsel materyaller, daha basit metinler, daha kısa ve yapılandırılmış etkinlikler.</w:t>
            </w:r>
          </w:p>
          <w:p w:rsidR="00721380" w:rsidRPr="00B35984" w:rsidRDefault="00B35984" w:rsidP="00B35984">
            <w:pPr>
              <w:pStyle w:val="ListeParagraf"/>
              <w:numPr>
                <w:ilvl w:val="0"/>
                <w:numId w:val="49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 xml:space="preserve">Kavramları somutlaştırmak için oyunlar, drama ve </w:t>
            </w:r>
            <w:proofErr w:type="spellStart"/>
            <w:r w:rsidRPr="00B35984">
              <w:rPr>
                <w:rFonts w:ascii="Tahoma" w:hAnsi="Tahoma" w:cs="Tahoma"/>
                <w:sz w:val="20"/>
                <w:szCs w:val="20"/>
              </w:rPr>
              <w:t>pandomim</w:t>
            </w:r>
            <w:proofErr w:type="spellEnd"/>
            <w:r w:rsidRPr="00B35984">
              <w:rPr>
                <w:rFonts w:ascii="Tahoma" w:hAnsi="Tahoma" w:cs="Tahoma"/>
                <w:sz w:val="20"/>
                <w:szCs w:val="20"/>
              </w:rPr>
              <w:t xml:space="preserve"> gibi yöntemler kullanma.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Öğretim Programının</w:t>
            </w:r>
          </w:p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Uygulanmasına İlişkin</w:t>
            </w:r>
          </w:p>
          <w:p w:rsidR="003043DE" w:rsidRDefault="007A394C" w:rsidP="007A394C">
            <w:pPr>
              <w:rPr>
                <w:rFonts w:ascii="Tahoma" w:hAnsi="Tahoma" w:cs="Tahoma"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Açıklamalar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Türkiye Yüzyılı Maarif Modeli Programı’nın daha sağlıklı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uygulanabilmesi için önerilerinizi lütfen yazınız.</w:t>
            </w:r>
          </w:p>
        </w:tc>
      </w:tr>
      <w:tr w:rsidR="003043DE" w:rsidTr="002A1CED">
        <w:trPr>
          <w:trHeight w:val="953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B35984" w:rsidRPr="00B35984" w:rsidRDefault="00B35984" w:rsidP="00B35984">
            <w:pPr>
              <w:pStyle w:val="ListeParagraf"/>
              <w:numPr>
                <w:ilvl w:val="0"/>
                <w:numId w:val="50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Öğretmen Eğitimleri: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Yeni programın felsefesini ve uygulamalarını içeren kapsamlı öğretmen eğitimleri düzenlenmelidir.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50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Materyal Geliştirme: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Öğretim programını destekleyici, farklı öğrenme stillerine hitap eden çeşitlilikte materyaller geliştirilmelidir.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50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İş Birliği: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Öğretmenler, veliler ve diğer paydaşlar arasında iş birliği ve iletişim kanalları güçlendirilmelidir.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50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Ölçme Değerlendirme Uygulamaları: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Öğretmenlerin biçimlendirici değerlendirme yöntemlerini ve farklı ölçme araçlarını kullanma becerileri artırılmalıdır.</w:t>
            </w:r>
          </w:p>
          <w:p w:rsidR="00B35984" w:rsidRPr="00B35984" w:rsidRDefault="00B35984" w:rsidP="00B35984">
            <w:pPr>
              <w:pStyle w:val="ListeParagraf"/>
              <w:numPr>
                <w:ilvl w:val="0"/>
                <w:numId w:val="50"/>
              </w:num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b/>
                <w:sz w:val="20"/>
                <w:szCs w:val="20"/>
              </w:rPr>
              <w:t>Esneklik:</w:t>
            </w:r>
            <w:r w:rsidRPr="00B35984">
              <w:rPr>
                <w:rFonts w:ascii="Tahoma" w:hAnsi="Tahoma" w:cs="Tahoma"/>
                <w:sz w:val="20"/>
                <w:szCs w:val="20"/>
              </w:rPr>
              <w:t xml:space="preserve"> Programın uygulanmasında okul ve öğrenci özelliklerine göre esneklik sağlanmalıdır.</w:t>
            </w:r>
          </w:p>
          <w:p w:rsidR="00B35984" w:rsidRDefault="00B35984" w:rsidP="00B359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043DE" w:rsidRPr="00D92A09" w:rsidRDefault="00B35984" w:rsidP="00B35984">
            <w:pPr>
              <w:rPr>
                <w:rFonts w:ascii="Tahoma" w:hAnsi="Tahoma" w:cs="Tahoma"/>
                <w:sz w:val="20"/>
                <w:szCs w:val="20"/>
              </w:rPr>
            </w:pPr>
            <w:r w:rsidRPr="00B35984">
              <w:rPr>
                <w:rFonts w:ascii="Tahoma" w:hAnsi="Tahoma" w:cs="Tahoma"/>
                <w:sz w:val="20"/>
                <w:szCs w:val="20"/>
              </w:rPr>
              <w:t xml:space="preserve">Sonuç olarak, Türkiye Yüzyılı Maarif Modeli İnsan Hakları, Vatandaşlık ve Demokrasi Dersi Öğretim Programı, çağın gerektirdiği bilgi, beceri ve değerlerle donatılmış bireyler yetiştirmeyi hedefleyen, </w:t>
            </w:r>
            <w:proofErr w:type="spellStart"/>
            <w:r w:rsidRPr="00B35984">
              <w:rPr>
                <w:rFonts w:ascii="Tahoma" w:hAnsi="Tahoma" w:cs="Tahoma"/>
                <w:sz w:val="20"/>
                <w:szCs w:val="20"/>
              </w:rPr>
              <w:t>vizyoner</w:t>
            </w:r>
            <w:proofErr w:type="spellEnd"/>
            <w:r w:rsidRPr="00B35984">
              <w:rPr>
                <w:rFonts w:ascii="Tahoma" w:hAnsi="Tahoma" w:cs="Tahoma"/>
                <w:sz w:val="20"/>
                <w:szCs w:val="20"/>
              </w:rPr>
              <w:t xml:space="preserve"> bir programdır. Programın başarısı, uygulayıcıların program felsefesini benimsemesi, etkin bir şekilde kullanması ve sürekli geliştirmesi ile mümkün olacaktır.</w:t>
            </w:r>
          </w:p>
        </w:tc>
      </w:tr>
    </w:tbl>
    <w:p w:rsidR="00A63861" w:rsidRPr="005A2692" w:rsidRDefault="00A63861" w:rsidP="005A269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3861" w:rsidRPr="005A2692" w:rsidSect="002A1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FQSJS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61F"/>
    <w:multiLevelType w:val="hybridMultilevel"/>
    <w:tmpl w:val="003C6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A89"/>
    <w:multiLevelType w:val="hybridMultilevel"/>
    <w:tmpl w:val="B4303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389F"/>
    <w:multiLevelType w:val="hybridMultilevel"/>
    <w:tmpl w:val="C01A17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4D3D"/>
    <w:multiLevelType w:val="hybridMultilevel"/>
    <w:tmpl w:val="DD6AD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283C"/>
    <w:multiLevelType w:val="hybridMultilevel"/>
    <w:tmpl w:val="A1221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6757"/>
    <w:multiLevelType w:val="hybridMultilevel"/>
    <w:tmpl w:val="6A8CD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8440A"/>
    <w:multiLevelType w:val="hybridMultilevel"/>
    <w:tmpl w:val="C96A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6CF7"/>
    <w:multiLevelType w:val="hybridMultilevel"/>
    <w:tmpl w:val="0F962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153"/>
    <w:multiLevelType w:val="hybridMultilevel"/>
    <w:tmpl w:val="92D0C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6158F"/>
    <w:multiLevelType w:val="hybridMultilevel"/>
    <w:tmpl w:val="9EF6E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E412B"/>
    <w:multiLevelType w:val="hybridMultilevel"/>
    <w:tmpl w:val="C5B07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5070F"/>
    <w:multiLevelType w:val="hybridMultilevel"/>
    <w:tmpl w:val="89AC2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5CC5"/>
    <w:multiLevelType w:val="hybridMultilevel"/>
    <w:tmpl w:val="8DF8D8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022AB"/>
    <w:multiLevelType w:val="hybridMultilevel"/>
    <w:tmpl w:val="696EF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36AD2"/>
    <w:multiLevelType w:val="hybridMultilevel"/>
    <w:tmpl w:val="B290B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E7B4E"/>
    <w:multiLevelType w:val="hybridMultilevel"/>
    <w:tmpl w:val="5C8A8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87861"/>
    <w:multiLevelType w:val="hybridMultilevel"/>
    <w:tmpl w:val="E0608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A40D0"/>
    <w:multiLevelType w:val="hybridMultilevel"/>
    <w:tmpl w:val="ED6A7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1FBD"/>
    <w:multiLevelType w:val="hybridMultilevel"/>
    <w:tmpl w:val="A9B8A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87248"/>
    <w:multiLevelType w:val="hybridMultilevel"/>
    <w:tmpl w:val="068A2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D44FB"/>
    <w:multiLevelType w:val="hybridMultilevel"/>
    <w:tmpl w:val="30221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45D5"/>
    <w:multiLevelType w:val="hybridMultilevel"/>
    <w:tmpl w:val="A50AF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764CA"/>
    <w:multiLevelType w:val="hybridMultilevel"/>
    <w:tmpl w:val="ED6C0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77B30"/>
    <w:multiLevelType w:val="hybridMultilevel"/>
    <w:tmpl w:val="F3BC2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4399F"/>
    <w:multiLevelType w:val="hybridMultilevel"/>
    <w:tmpl w:val="B0D8C6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35932"/>
    <w:multiLevelType w:val="hybridMultilevel"/>
    <w:tmpl w:val="245EA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C2A8D"/>
    <w:multiLevelType w:val="hybridMultilevel"/>
    <w:tmpl w:val="4D760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47CE0"/>
    <w:multiLevelType w:val="hybridMultilevel"/>
    <w:tmpl w:val="D0DE7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312C5"/>
    <w:multiLevelType w:val="hybridMultilevel"/>
    <w:tmpl w:val="86C24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74C5B"/>
    <w:multiLevelType w:val="hybridMultilevel"/>
    <w:tmpl w:val="9872F2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80252"/>
    <w:multiLevelType w:val="hybridMultilevel"/>
    <w:tmpl w:val="6BFC2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56667"/>
    <w:multiLevelType w:val="hybridMultilevel"/>
    <w:tmpl w:val="9B408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417CC"/>
    <w:multiLevelType w:val="hybridMultilevel"/>
    <w:tmpl w:val="2102CE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5723F"/>
    <w:multiLevelType w:val="hybridMultilevel"/>
    <w:tmpl w:val="3566E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82BA0"/>
    <w:multiLevelType w:val="hybridMultilevel"/>
    <w:tmpl w:val="82FA2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83BED"/>
    <w:multiLevelType w:val="hybridMultilevel"/>
    <w:tmpl w:val="5F06F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A2881"/>
    <w:multiLevelType w:val="hybridMultilevel"/>
    <w:tmpl w:val="3924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B550C"/>
    <w:multiLevelType w:val="hybridMultilevel"/>
    <w:tmpl w:val="053C1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70725"/>
    <w:multiLevelType w:val="hybridMultilevel"/>
    <w:tmpl w:val="86260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D0DAF"/>
    <w:multiLevelType w:val="hybridMultilevel"/>
    <w:tmpl w:val="3FE6E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20DAA"/>
    <w:multiLevelType w:val="hybridMultilevel"/>
    <w:tmpl w:val="DB46A8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B0DE4"/>
    <w:multiLevelType w:val="hybridMultilevel"/>
    <w:tmpl w:val="42D42F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51D47"/>
    <w:multiLevelType w:val="hybridMultilevel"/>
    <w:tmpl w:val="BC8A6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A1AF2"/>
    <w:multiLevelType w:val="hybridMultilevel"/>
    <w:tmpl w:val="DE5C0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E31C7"/>
    <w:multiLevelType w:val="hybridMultilevel"/>
    <w:tmpl w:val="BDBEA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0264F"/>
    <w:multiLevelType w:val="hybridMultilevel"/>
    <w:tmpl w:val="AE56A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3F0E28"/>
    <w:multiLevelType w:val="hybridMultilevel"/>
    <w:tmpl w:val="7E087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76A75"/>
    <w:multiLevelType w:val="hybridMultilevel"/>
    <w:tmpl w:val="C1DC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42"/>
  </w:num>
  <w:num w:numId="4">
    <w:abstractNumId w:val="16"/>
  </w:num>
  <w:num w:numId="5">
    <w:abstractNumId w:val="22"/>
  </w:num>
  <w:num w:numId="6">
    <w:abstractNumId w:val="32"/>
  </w:num>
  <w:num w:numId="7">
    <w:abstractNumId w:val="11"/>
  </w:num>
  <w:num w:numId="8">
    <w:abstractNumId w:val="15"/>
  </w:num>
  <w:num w:numId="9">
    <w:abstractNumId w:val="43"/>
  </w:num>
  <w:num w:numId="10">
    <w:abstractNumId w:val="36"/>
  </w:num>
  <w:num w:numId="11">
    <w:abstractNumId w:val="29"/>
  </w:num>
  <w:num w:numId="12">
    <w:abstractNumId w:val="13"/>
  </w:num>
  <w:num w:numId="13">
    <w:abstractNumId w:val="48"/>
  </w:num>
  <w:num w:numId="14">
    <w:abstractNumId w:val="7"/>
  </w:num>
  <w:num w:numId="15">
    <w:abstractNumId w:val="24"/>
  </w:num>
  <w:num w:numId="16">
    <w:abstractNumId w:val="5"/>
  </w:num>
  <w:num w:numId="17">
    <w:abstractNumId w:val="18"/>
  </w:num>
  <w:num w:numId="18">
    <w:abstractNumId w:val="25"/>
  </w:num>
  <w:num w:numId="19">
    <w:abstractNumId w:val="12"/>
  </w:num>
  <w:num w:numId="20">
    <w:abstractNumId w:val="2"/>
  </w:num>
  <w:num w:numId="21">
    <w:abstractNumId w:val="40"/>
  </w:num>
  <w:num w:numId="22">
    <w:abstractNumId w:val="9"/>
  </w:num>
  <w:num w:numId="23">
    <w:abstractNumId w:val="49"/>
  </w:num>
  <w:num w:numId="24">
    <w:abstractNumId w:val="21"/>
  </w:num>
  <w:num w:numId="25">
    <w:abstractNumId w:val="35"/>
  </w:num>
  <w:num w:numId="26">
    <w:abstractNumId w:val="3"/>
  </w:num>
  <w:num w:numId="27">
    <w:abstractNumId w:val="19"/>
  </w:num>
  <w:num w:numId="28">
    <w:abstractNumId w:val="39"/>
  </w:num>
  <w:num w:numId="29">
    <w:abstractNumId w:val="8"/>
  </w:num>
  <w:num w:numId="30">
    <w:abstractNumId w:val="6"/>
  </w:num>
  <w:num w:numId="31">
    <w:abstractNumId w:val="1"/>
  </w:num>
  <w:num w:numId="32">
    <w:abstractNumId w:val="23"/>
  </w:num>
  <w:num w:numId="33">
    <w:abstractNumId w:val="47"/>
  </w:num>
  <w:num w:numId="34">
    <w:abstractNumId w:val="38"/>
  </w:num>
  <w:num w:numId="35">
    <w:abstractNumId w:val="46"/>
  </w:num>
  <w:num w:numId="36">
    <w:abstractNumId w:val="28"/>
  </w:num>
  <w:num w:numId="37">
    <w:abstractNumId w:val="20"/>
  </w:num>
  <w:num w:numId="38">
    <w:abstractNumId w:val="14"/>
  </w:num>
  <w:num w:numId="39">
    <w:abstractNumId w:val="44"/>
  </w:num>
  <w:num w:numId="40">
    <w:abstractNumId w:val="41"/>
  </w:num>
  <w:num w:numId="41">
    <w:abstractNumId w:val="45"/>
  </w:num>
  <w:num w:numId="42">
    <w:abstractNumId w:val="4"/>
  </w:num>
  <w:num w:numId="43">
    <w:abstractNumId w:val="17"/>
  </w:num>
  <w:num w:numId="44">
    <w:abstractNumId w:val="10"/>
  </w:num>
  <w:num w:numId="45">
    <w:abstractNumId w:val="30"/>
  </w:num>
  <w:num w:numId="46">
    <w:abstractNumId w:val="0"/>
  </w:num>
  <w:num w:numId="47">
    <w:abstractNumId w:val="26"/>
  </w:num>
  <w:num w:numId="48">
    <w:abstractNumId w:val="33"/>
  </w:num>
  <w:num w:numId="49">
    <w:abstractNumId w:val="3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2"/>
    <w:rsid w:val="00044864"/>
    <w:rsid w:val="001704C9"/>
    <w:rsid w:val="001905B0"/>
    <w:rsid w:val="002101D1"/>
    <w:rsid w:val="002A1CED"/>
    <w:rsid w:val="003043DE"/>
    <w:rsid w:val="003453A6"/>
    <w:rsid w:val="0040042C"/>
    <w:rsid w:val="00475AC3"/>
    <w:rsid w:val="0055317C"/>
    <w:rsid w:val="0058459F"/>
    <w:rsid w:val="00597EB1"/>
    <w:rsid w:val="005A2692"/>
    <w:rsid w:val="005D1ED4"/>
    <w:rsid w:val="005E70D9"/>
    <w:rsid w:val="00606C1A"/>
    <w:rsid w:val="006562FA"/>
    <w:rsid w:val="00721380"/>
    <w:rsid w:val="00776FED"/>
    <w:rsid w:val="007A394C"/>
    <w:rsid w:val="007F66F5"/>
    <w:rsid w:val="008536A1"/>
    <w:rsid w:val="008815BF"/>
    <w:rsid w:val="00893DB1"/>
    <w:rsid w:val="009A53E7"/>
    <w:rsid w:val="00A63861"/>
    <w:rsid w:val="00B35984"/>
    <w:rsid w:val="00BB5468"/>
    <w:rsid w:val="00C20036"/>
    <w:rsid w:val="00D1634E"/>
    <w:rsid w:val="00D92A09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0E7C-1D4F-4042-BC23-713314D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045E-3984-4706-B531-8ACAC12C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6521</Characters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2024-06-13T17:52:00Z</dcterms:created>
  <dcterms:modified xsi:type="dcterms:W3CDTF">2024-06-22T10:23:00Z</dcterms:modified>
</cp:coreProperties>
</file>