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1905B0">
      <w:pPr>
        <w:pStyle w:val="ListeParagraf"/>
        <w:widowControl w:val="0"/>
        <w:numPr>
          <w:ilvl w:val="0"/>
          <w:numId w:val="4"/>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1905B0">
      <w:pPr>
        <w:pStyle w:val="ListeParagraf"/>
        <w:widowControl w:val="0"/>
        <w:numPr>
          <w:ilvl w:val="0"/>
          <w:numId w:val="4"/>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1905B0">
      <w:pPr>
        <w:pStyle w:val="ListeParagraf"/>
        <w:widowControl w:val="0"/>
        <w:numPr>
          <w:ilvl w:val="0"/>
          <w:numId w:val="4"/>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1905B0" w:rsidP="009A53E7">
            <w:pPr>
              <w:jc w:val="center"/>
              <w:rPr>
                <w:rFonts w:ascii="Tahoma" w:hAnsi="Tahoma" w:cs="Tahoma"/>
                <w:b/>
                <w:sz w:val="24"/>
                <w:szCs w:val="24"/>
              </w:rPr>
            </w:pPr>
            <w:r w:rsidRPr="001905B0">
              <w:rPr>
                <w:rFonts w:ascii="Tahoma" w:hAnsi="Tahoma" w:cs="Tahoma"/>
                <w:b/>
                <w:sz w:val="24"/>
                <w:szCs w:val="24"/>
              </w:rPr>
              <w:t xml:space="preserve">İlkokul </w:t>
            </w:r>
            <w:r w:rsidR="009A53E7">
              <w:rPr>
                <w:rFonts w:ascii="Tahoma" w:hAnsi="Tahoma" w:cs="Tahoma"/>
                <w:b/>
                <w:sz w:val="24"/>
                <w:szCs w:val="24"/>
              </w:rPr>
              <w:t>Sosyal Bilgiler</w:t>
            </w:r>
            <w:r w:rsidRPr="001905B0">
              <w:rPr>
                <w:rFonts w:ascii="Tahoma" w:hAnsi="Tahoma" w:cs="Tahoma"/>
                <w:b/>
                <w:sz w:val="24"/>
                <w:szCs w:val="24"/>
              </w:rPr>
              <w:t xml:space="preserve"> 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475AC3" w:rsidRPr="009A53E7" w:rsidRDefault="009A53E7" w:rsidP="009A53E7">
            <w:pPr>
              <w:rPr>
                <w:rFonts w:ascii="Tahoma" w:hAnsi="Tahoma" w:cs="Tahoma"/>
                <w:sz w:val="20"/>
                <w:szCs w:val="20"/>
              </w:rPr>
            </w:pPr>
            <w:r w:rsidRPr="009A53E7">
              <w:rPr>
                <w:rFonts w:ascii="Tahoma" w:hAnsi="Tahoma" w:cs="Tahoma"/>
                <w:sz w:val="20"/>
                <w:szCs w:val="20"/>
              </w:rPr>
              <w:t>Yeni öğretim programının felsefesi, "</w:t>
            </w:r>
            <w:r w:rsidRPr="009A53E7">
              <w:rPr>
                <w:rFonts w:ascii="Tahoma" w:hAnsi="Tahoma" w:cs="Tahoma"/>
                <w:b/>
                <w:sz w:val="20"/>
                <w:szCs w:val="20"/>
              </w:rPr>
              <w:t>Türkiye Yüzyılı Maarif Modeli</w:t>
            </w:r>
            <w:r w:rsidRPr="009A53E7">
              <w:rPr>
                <w:rFonts w:ascii="Tahoma" w:hAnsi="Tahoma" w:cs="Tahoma"/>
                <w:sz w:val="20"/>
                <w:szCs w:val="20"/>
              </w:rPr>
              <w:t xml:space="preserve">" çerçevesinde şekillenmiş olup, </w:t>
            </w:r>
            <w:r w:rsidRPr="009A53E7">
              <w:rPr>
                <w:rFonts w:ascii="Tahoma" w:hAnsi="Tahoma" w:cs="Tahoma"/>
                <w:b/>
                <w:sz w:val="20"/>
                <w:szCs w:val="20"/>
              </w:rPr>
              <w:t>bütüncül</w:t>
            </w:r>
            <w:r w:rsidRPr="009A53E7">
              <w:rPr>
                <w:rFonts w:ascii="Tahoma" w:hAnsi="Tahoma" w:cs="Tahoma"/>
                <w:sz w:val="20"/>
                <w:szCs w:val="20"/>
              </w:rPr>
              <w:t xml:space="preserve"> bir eğitim yaklaşımı benimsemektedir. Programda </w:t>
            </w:r>
            <w:r w:rsidRPr="009A53E7">
              <w:rPr>
                <w:rFonts w:ascii="Tahoma" w:hAnsi="Tahoma" w:cs="Tahoma"/>
                <w:b/>
                <w:sz w:val="20"/>
                <w:szCs w:val="20"/>
              </w:rPr>
              <w:t>öğrenci merkezli</w:t>
            </w:r>
            <w:r w:rsidRPr="009A53E7">
              <w:rPr>
                <w:rFonts w:ascii="Tahoma" w:hAnsi="Tahoma" w:cs="Tahoma"/>
                <w:sz w:val="20"/>
                <w:szCs w:val="20"/>
              </w:rPr>
              <w:t xml:space="preserve"> bir anlayış hâkimdir ve öğrencilerin </w:t>
            </w:r>
            <w:r w:rsidRPr="009A53E7">
              <w:rPr>
                <w:rFonts w:ascii="Tahoma" w:hAnsi="Tahoma" w:cs="Tahoma"/>
                <w:b/>
                <w:sz w:val="20"/>
                <w:szCs w:val="20"/>
              </w:rPr>
              <w:t>aktif katılımı, eleştirel düşünme, problem çözme ve yaratıcılık becerilerini</w:t>
            </w:r>
            <w:r w:rsidRPr="009A53E7">
              <w:rPr>
                <w:rFonts w:ascii="Tahoma" w:hAnsi="Tahoma" w:cs="Tahoma"/>
                <w:sz w:val="20"/>
                <w:szCs w:val="20"/>
              </w:rPr>
              <w:t xml:space="preserve"> geliştirmelerine odaklanılmaktadır. Değerler eğitimi, sosyal-duygusal öğrenme ve okuryazarlık becerileri programlar arası bileşenler olarak tüm öğren</w:t>
            </w:r>
            <w:r>
              <w:rPr>
                <w:rFonts w:ascii="Tahoma" w:hAnsi="Tahoma" w:cs="Tahoma"/>
                <w:sz w:val="20"/>
                <w:szCs w:val="20"/>
              </w:rPr>
              <w:t xml:space="preserve">me alanlarına </w:t>
            </w:r>
            <w:proofErr w:type="gramStart"/>
            <w:r>
              <w:rPr>
                <w:rFonts w:ascii="Tahoma" w:hAnsi="Tahoma" w:cs="Tahoma"/>
                <w:sz w:val="20"/>
                <w:szCs w:val="20"/>
              </w:rPr>
              <w:t>entegre</w:t>
            </w:r>
            <w:proofErr w:type="gramEnd"/>
            <w:r>
              <w:rPr>
                <w:rFonts w:ascii="Tahoma" w:hAnsi="Tahoma" w:cs="Tahoma"/>
                <w:sz w:val="20"/>
                <w:szCs w:val="20"/>
              </w:rPr>
              <w:t xml:space="preserve"> edilmiş</w:t>
            </w:r>
            <w:r w:rsidRPr="009A53E7">
              <w:rPr>
                <w:rFonts w:ascii="Tahoma" w:hAnsi="Tahoma" w:cs="Tahoma"/>
                <w:sz w:val="20"/>
                <w:szCs w:val="20"/>
              </w:rPr>
              <w:t>. Öğrenme çıktıları, gerçek hayatla bağlantılı ve uygulanabil</w:t>
            </w:r>
            <w:r>
              <w:rPr>
                <w:rFonts w:ascii="Tahoma" w:hAnsi="Tahoma" w:cs="Tahoma"/>
                <w:sz w:val="20"/>
                <w:szCs w:val="20"/>
              </w:rPr>
              <w:t>ir olacak şekilde tasarlanmış</w:t>
            </w:r>
            <w:r w:rsidRPr="009A53E7">
              <w:rPr>
                <w:rFonts w:ascii="Tahoma" w:hAnsi="Tahoma" w:cs="Tahoma"/>
                <w:sz w:val="20"/>
                <w:szCs w:val="20"/>
              </w:rPr>
              <w:t>.</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9A53E7" w:rsidRPr="009A53E7" w:rsidRDefault="009A53E7" w:rsidP="009A53E7">
            <w:pPr>
              <w:rPr>
                <w:rFonts w:ascii="Tahoma" w:hAnsi="Tahoma" w:cs="Tahoma"/>
                <w:sz w:val="20"/>
                <w:szCs w:val="20"/>
              </w:rPr>
            </w:pPr>
            <w:r w:rsidRPr="009A53E7">
              <w:rPr>
                <w:rFonts w:ascii="Tahoma" w:hAnsi="Tahoma" w:cs="Tahoma"/>
                <w:sz w:val="20"/>
                <w:szCs w:val="20"/>
              </w:rPr>
              <w:t>Yeni programda öğrenme alanları kullanılmış ve 6 tema belirlenmiştir. Sıralamaları, öğrencinin gelişimine ve öğrenme alanları arasındaki ilişkiye uygun olarak düzenlenmiştir.</w:t>
            </w:r>
          </w:p>
          <w:p w:rsidR="009A53E7" w:rsidRDefault="009A53E7" w:rsidP="009A53E7">
            <w:pPr>
              <w:rPr>
                <w:rFonts w:ascii="Tahoma" w:hAnsi="Tahoma" w:cs="Tahoma"/>
                <w:b/>
                <w:sz w:val="20"/>
                <w:szCs w:val="20"/>
              </w:rPr>
            </w:pPr>
          </w:p>
          <w:p w:rsidR="009A53E7" w:rsidRPr="009A53E7" w:rsidRDefault="009A53E7" w:rsidP="009A53E7">
            <w:pPr>
              <w:rPr>
                <w:rFonts w:ascii="Tahoma" w:hAnsi="Tahoma" w:cs="Tahoma"/>
                <w:b/>
                <w:sz w:val="20"/>
                <w:szCs w:val="20"/>
              </w:rPr>
            </w:pPr>
            <w:r w:rsidRPr="009A53E7">
              <w:rPr>
                <w:rFonts w:ascii="Tahoma" w:hAnsi="Tahoma" w:cs="Tahoma"/>
                <w:b/>
                <w:sz w:val="20"/>
                <w:szCs w:val="20"/>
              </w:rPr>
              <w:t>Eski Programa Göre Temel Farklılıklar:</w:t>
            </w:r>
          </w:p>
          <w:p w:rsidR="009A53E7" w:rsidRPr="009A53E7" w:rsidRDefault="009A53E7" w:rsidP="009A53E7">
            <w:pPr>
              <w:rPr>
                <w:rFonts w:ascii="Tahoma" w:hAnsi="Tahoma" w:cs="Tahoma"/>
                <w:sz w:val="20"/>
                <w:szCs w:val="20"/>
              </w:rPr>
            </w:pPr>
            <w:r w:rsidRPr="009A53E7">
              <w:rPr>
                <w:rFonts w:ascii="Tahoma" w:hAnsi="Tahoma" w:cs="Tahoma"/>
                <w:b/>
                <w:sz w:val="20"/>
                <w:szCs w:val="20"/>
              </w:rPr>
              <w:t>Tema Sayısı:</w:t>
            </w:r>
            <w:r w:rsidRPr="009A53E7">
              <w:rPr>
                <w:rFonts w:ascii="Tahoma" w:hAnsi="Tahoma" w:cs="Tahoma"/>
                <w:sz w:val="20"/>
                <w:szCs w:val="20"/>
              </w:rPr>
              <w:t xml:space="preserve"> Eski programda 7 öğrenme alanı varken, yeni programda 6 öğrenme alanı bulunmaktadır.</w:t>
            </w:r>
          </w:p>
          <w:p w:rsidR="009A53E7" w:rsidRPr="009A53E7" w:rsidRDefault="009A53E7" w:rsidP="009A53E7">
            <w:pPr>
              <w:rPr>
                <w:rFonts w:ascii="Tahoma" w:hAnsi="Tahoma" w:cs="Tahoma"/>
                <w:sz w:val="20"/>
                <w:szCs w:val="20"/>
              </w:rPr>
            </w:pPr>
            <w:r w:rsidRPr="009A53E7">
              <w:rPr>
                <w:rFonts w:ascii="Tahoma" w:hAnsi="Tahoma" w:cs="Tahoma"/>
                <w:b/>
                <w:sz w:val="20"/>
                <w:szCs w:val="20"/>
              </w:rPr>
              <w:t>Tema Başlıkları:</w:t>
            </w:r>
            <w:r w:rsidRPr="009A53E7">
              <w:rPr>
                <w:rFonts w:ascii="Tahoma" w:hAnsi="Tahoma" w:cs="Tahoma"/>
                <w:sz w:val="20"/>
                <w:szCs w:val="20"/>
              </w:rPr>
              <w:t xml:space="preserve"> Eski programdaki "İnsanlar, Yerler ve Çevreler", "Küresel Bağlantılar", "Etkin Vatandaşlık" gibi temalar, yeni programda "Evimiz Dünya", "Ortak Mirasımız", "Yaşayan Demokrasimiz" gibi daha kapsayıcı ve bütüncül başlıklar altında toplanmıştır.</w:t>
            </w:r>
          </w:p>
          <w:p w:rsidR="009A53E7" w:rsidRPr="009A53E7" w:rsidRDefault="009A53E7" w:rsidP="009A53E7">
            <w:pPr>
              <w:rPr>
                <w:rFonts w:ascii="Tahoma" w:hAnsi="Tahoma" w:cs="Tahoma"/>
                <w:sz w:val="20"/>
                <w:szCs w:val="20"/>
              </w:rPr>
            </w:pPr>
            <w:r w:rsidRPr="009A53E7">
              <w:rPr>
                <w:rFonts w:ascii="Tahoma" w:hAnsi="Tahoma" w:cs="Tahoma"/>
                <w:b/>
                <w:sz w:val="20"/>
                <w:szCs w:val="20"/>
              </w:rPr>
              <w:t>İçerikte Sadeleştirme:</w:t>
            </w:r>
            <w:r w:rsidRPr="009A53E7">
              <w:rPr>
                <w:rFonts w:ascii="Tahoma" w:hAnsi="Tahoma" w:cs="Tahoma"/>
                <w:sz w:val="20"/>
                <w:szCs w:val="20"/>
              </w:rPr>
              <w:t xml:space="preserve"> Yeni programda içerik sadeleştirilmiş ve gereksiz detaylardan arındırılmıştır.</w:t>
            </w:r>
          </w:p>
          <w:p w:rsidR="009A53E7" w:rsidRPr="009A53E7" w:rsidRDefault="009A53E7" w:rsidP="009A53E7">
            <w:pPr>
              <w:rPr>
                <w:rFonts w:ascii="Tahoma" w:hAnsi="Tahoma" w:cs="Tahoma"/>
                <w:sz w:val="20"/>
                <w:szCs w:val="20"/>
              </w:rPr>
            </w:pPr>
            <w:r w:rsidRPr="009A53E7">
              <w:rPr>
                <w:rFonts w:ascii="Tahoma" w:hAnsi="Tahoma" w:cs="Tahoma"/>
                <w:b/>
                <w:sz w:val="20"/>
                <w:szCs w:val="20"/>
              </w:rPr>
              <w:t>Öğrenme Çıktıları:</w:t>
            </w:r>
            <w:r w:rsidRPr="009A53E7">
              <w:rPr>
                <w:rFonts w:ascii="Tahoma" w:hAnsi="Tahoma" w:cs="Tahoma"/>
                <w:sz w:val="20"/>
                <w:szCs w:val="20"/>
              </w:rPr>
              <w:t xml:space="preserve"> Her tema için </w:t>
            </w:r>
            <w:proofErr w:type="gramStart"/>
            <w:r w:rsidRPr="009A53E7">
              <w:rPr>
                <w:rFonts w:ascii="Tahoma" w:hAnsi="Tahoma" w:cs="Tahoma"/>
                <w:sz w:val="20"/>
                <w:szCs w:val="20"/>
              </w:rPr>
              <w:t>spesifik</w:t>
            </w:r>
            <w:proofErr w:type="gramEnd"/>
            <w:r w:rsidRPr="009A53E7">
              <w:rPr>
                <w:rFonts w:ascii="Tahoma" w:hAnsi="Tahoma" w:cs="Tahoma"/>
                <w:sz w:val="20"/>
                <w:szCs w:val="20"/>
              </w:rPr>
              <w:t xml:space="preserve"> öğrenme çıktıları belirlenmiş ve bu çıktılar, kazanımlardan daha geniş ve kapsamlı bir bakış açısı sunmaktadır.</w:t>
            </w:r>
          </w:p>
          <w:p w:rsidR="00597EB1" w:rsidRPr="00893DB1" w:rsidRDefault="009A53E7" w:rsidP="009A53E7">
            <w:pPr>
              <w:rPr>
                <w:rFonts w:ascii="Tahoma" w:hAnsi="Tahoma" w:cs="Tahoma"/>
                <w:sz w:val="20"/>
                <w:szCs w:val="20"/>
              </w:rPr>
            </w:pPr>
            <w:r w:rsidRPr="009A53E7">
              <w:rPr>
                <w:rFonts w:ascii="Tahoma" w:hAnsi="Tahoma" w:cs="Tahoma"/>
                <w:b/>
                <w:sz w:val="20"/>
                <w:szCs w:val="20"/>
              </w:rPr>
              <w:t>Becerilere Odaklanma:</w:t>
            </w:r>
            <w:r w:rsidRPr="009A53E7">
              <w:rPr>
                <w:rFonts w:ascii="Tahoma" w:hAnsi="Tahoma" w:cs="Tahoma"/>
                <w:sz w:val="20"/>
                <w:szCs w:val="20"/>
              </w:rPr>
              <w:t xml:space="preserve"> Yeni programda, bilgi aktarımından ziyade, öğrencilerin beceri kazanmalarına ve bu becerileri gerçek hayat problemlerine uygulamalarına odaklanılmaktadır.</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C20036" w:rsidRPr="00C20036" w:rsidRDefault="00C20036" w:rsidP="00C20036">
            <w:pPr>
              <w:rPr>
                <w:rFonts w:ascii="Tahoma" w:hAnsi="Tahoma" w:cs="Tahoma"/>
                <w:b/>
                <w:sz w:val="20"/>
                <w:szCs w:val="20"/>
              </w:rPr>
            </w:pPr>
            <w:r w:rsidRPr="00C20036">
              <w:rPr>
                <w:rFonts w:ascii="Tahoma" w:hAnsi="Tahoma" w:cs="Tahoma"/>
                <w:b/>
                <w:sz w:val="20"/>
                <w:szCs w:val="20"/>
              </w:rPr>
              <w:t>Eklenen İçerikler:</w:t>
            </w:r>
          </w:p>
          <w:p w:rsidR="00C20036" w:rsidRPr="00C20036" w:rsidRDefault="00C20036" w:rsidP="00C20036">
            <w:pPr>
              <w:pStyle w:val="ListeParagraf"/>
              <w:numPr>
                <w:ilvl w:val="0"/>
                <w:numId w:val="31"/>
              </w:numPr>
              <w:rPr>
                <w:rFonts w:ascii="Tahoma" w:hAnsi="Tahoma" w:cs="Tahoma"/>
                <w:sz w:val="20"/>
                <w:szCs w:val="20"/>
              </w:rPr>
            </w:pPr>
            <w:r w:rsidRPr="00C20036">
              <w:rPr>
                <w:rFonts w:ascii="Tahoma" w:hAnsi="Tahoma" w:cs="Tahoma"/>
                <w:b/>
                <w:sz w:val="20"/>
                <w:szCs w:val="20"/>
              </w:rPr>
              <w:t>Sosyal bilgiler dersinin hayatımıza katkıları:</w:t>
            </w:r>
            <w:r w:rsidRPr="00C20036">
              <w:rPr>
                <w:rFonts w:ascii="Tahoma" w:hAnsi="Tahoma" w:cs="Tahoma"/>
                <w:sz w:val="20"/>
                <w:szCs w:val="20"/>
              </w:rPr>
              <w:t xml:space="preserve"> Yeni program, öğrencilerin derse yönelik olumlu bir bakış açısı geliştirmelerini hedefleyerek sosyal bilgiler dersinin bireysel ve toplumsal hayata katkılarını ele alıyor.</w:t>
            </w:r>
          </w:p>
          <w:p w:rsidR="00C20036" w:rsidRPr="00C20036" w:rsidRDefault="00C20036" w:rsidP="00C20036">
            <w:pPr>
              <w:pStyle w:val="ListeParagraf"/>
              <w:numPr>
                <w:ilvl w:val="0"/>
                <w:numId w:val="31"/>
              </w:numPr>
              <w:rPr>
                <w:rFonts w:ascii="Tahoma" w:hAnsi="Tahoma" w:cs="Tahoma"/>
                <w:sz w:val="20"/>
                <w:szCs w:val="20"/>
              </w:rPr>
            </w:pPr>
            <w:proofErr w:type="spellStart"/>
            <w:r w:rsidRPr="00C20036">
              <w:rPr>
                <w:rFonts w:ascii="Tahoma" w:hAnsi="Tahoma" w:cs="Tahoma"/>
                <w:b/>
                <w:sz w:val="20"/>
                <w:szCs w:val="20"/>
              </w:rPr>
              <w:t>Navigasyon</w:t>
            </w:r>
            <w:proofErr w:type="spellEnd"/>
            <w:r w:rsidRPr="00C20036">
              <w:rPr>
                <w:rFonts w:ascii="Tahoma" w:hAnsi="Tahoma" w:cs="Tahoma"/>
                <w:b/>
                <w:sz w:val="20"/>
                <w:szCs w:val="20"/>
              </w:rPr>
              <w:t xml:space="preserve"> uygulamaları:</w:t>
            </w:r>
            <w:r w:rsidRPr="00C20036">
              <w:rPr>
                <w:rFonts w:ascii="Tahoma" w:hAnsi="Tahoma" w:cs="Tahoma"/>
                <w:sz w:val="20"/>
                <w:szCs w:val="20"/>
              </w:rPr>
              <w:t xml:space="preserve"> Yeni programda, konum ve yön bulma becerilerine güncel bir bakış açısıyla yaklaşılıyor ve </w:t>
            </w:r>
            <w:proofErr w:type="spellStart"/>
            <w:r w:rsidRPr="00C20036">
              <w:rPr>
                <w:rFonts w:ascii="Tahoma" w:hAnsi="Tahoma" w:cs="Tahoma"/>
                <w:sz w:val="20"/>
                <w:szCs w:val="20"/>
              </w:rPr>
              <w:t>navigasyon</w:t>
            </w:r>
            <w:proofErr w:type="spellEnd"/>
            <w:r w:rsidRPr="00C20036">
              <w:rPr>
                <w:rFonts w:ascii="Tahoma" w:hAnsi="Tahoma" w:cs="Tahoma"/>
                <w:sz w:val="20"/>
                <w:szCs w:val="20"/>
              </w:rPr>
              <w:t xml:space="preserve"> uygulamaları gibi teknolojik araçlar içeriğe dâhil ediliyor.</w:t>
            </w:r>
          </w:p>
          <w:p w:rsidR="00C20036" w:rsidRPr="00C20036" w:rsidRDefault="00C20036" w:rsidP="00C20036">
            <w:pPr>
              <w:pStyle w:val="ListeParagraf"/>
              <w:numPr>
                <w:ilvl w:val="0"/>
                <w:numId w:val="31"/>
              </w:numPr>
              <w:rPr>
                <w:rFonts w:ascii="Tahoma" w:hAnsi="Tahoma" w:cs="Tahoma"/>
                <w:sz w:val="20"/>
                <w:szCs w:val="20"/>
              </w:rPr>
            </w:pPr>
            <w:r w:rsidRPr="00C20036">
              <w:rPr>
                <w:rFonts w:ascii="Tahoma" w:hAnsi="Tahoma" w:cs="Tahoma"/>
                <w:b/>
                <w:sz w:val="20"/>
                <w:szCs w:val="20"/>
              </w:rPr>
              <w:t>AFAD ve Afet Risklerinin Azaltılması Günü:</w:t>
            </w:r>
            <w:r w:rsidRPr="00C20036">
              <w:rPr>
                <w:rFonts w:ascii="Tahoma" w:hAnsi="Tahoma" w:cs="Tahoma"/>
                <w:sz w:val="20"/>
                <w:szCs w:val="20"/>
              </w:rPr>
              <w:t xml:space="preserve"> Afet bilinci ve hazırlığına vurgu yapılarak </w:t>
            </w:r>
            <w:proofErr w:type="spellStart"/>
            <w:r w:rsidRPr="00C20036">
              <w:rPr>
                <w:rFonts w:ascii="Tahoma" w:hAnsi="Tahoma" w:cs="Tahoma"/>
                <w:sz w:val="20"/>
                <w:szCs w:val="20"/>
              </w:rPr>
              <w:t>AFAD'ın</w:t>
            </w:r>
            <w:proofErr w:type="spellEnd"/>
            <w:r w:rsidRPr="00C20036">
              <w:rPr>
                <w:rFonts w:ascii="Tahoma" w:hAnsi="Tahoma" w:cs="Tahoma"/>
                <w:sz w:val="20"/>
                <w:szCs w:val="20"/>
              </w:rPr>
              <w:t xml:space="preserve"> çalışmaları ve "Dünya Afet Risklerinin Azaltılması Günü" içeriğe ekleniyor.</w:t>
            </w:r>
          </w:p>
          <w:p w:rsidR="00C20036" w:rsidRPr="00C20036" w:rsidRDefault="00C20036" w:rsidP="00C20036">
            <w:pPr>
              <w:pStyle w:val="ListeParagraf"/>
              <w:numPr>
                <w:ilvl w:val="0"/>
                <w:numId w:val="31"/>
              </w:numPr>
              <w:rPr>
                <w:rFonts w:ascii="Tahoma" w:hAnsi="Tahoma" w:cs="Tahoma"/>
                <w:sz w:val="20"/>
                <w:szCs w:val="20"/>
              </w:rPr>
            </w:pPr>
            <w:r w:rsidRPr="00C20036">
              <w:rPr>
                <w:rFonts w:ascii="Tahoma" w:hAnsi="Tahoma" w:cs="Tahoma"/>
                <w:b/>
                <w:sz w:val="20"/>
                <w:szCs w:val="20"/>
              </w:rPr>
              <w:t>Çocuk Haklarına Dair Sözleşme:</w:t>
            </w:r>
            <w:r w:rsidRPr="00C20036">
              <w:rPr>
                <w:rFonts w:ascii="Tahoma" w:hAnsi="Tahoma" w:cs="Tahoma"/>
                <w:sz w:val="20"/>
                <w:szCs w:val="20"/>
              </w:rPr>
              <w:t xml:space="preserve"> Yeni program, çocukların haklarına dair farkındalık oluşturmak için Çocuk Haklarına Dair </w:t>
            </w:r>
            <w:proofErr w:type="spellStart"/>
            <w:r w:rsidRPr="00C20036">
              <w:rPr>
                <w:rFonts w:ascii="Tahoma" w:hAnsi="Tahoma" w:cs="Tahoma"/>
                <w:sz w:val="20"/>
                <w:szCs w:val="20"/>
              </w:rPr>
              <w:t>Sözleşme'deki</w:t>
            </w:r>
            <w:proofErr w:type="spellEnd"/>
            <w:r w:rsidRPr="00C20036">
              <w:rPr>
                <w:rFonts w:ascii="Tahoma" w:hAnsi="Tahoma" w:cs="Tahoma"/>
                <w:sz w:val="20"/>
                <w:szCs w:val="20"/>
              </w:rPr>
              <w:t xml:space="preserve"> maddelere yer veriyor.</w:t>
            </w:r>
          </w:p>
          <w:p w:rsidR="00C20036" w:rsidRPr="00C20036" w:rsidRDefault="00C20036" w:rsidP="00C20036">
            <w:pPr>
              <w:pStyle w:val="ListeParagraf"/>
              <w:numPr>
                <w:ilvl w:val="0"/>
                <w:numId w:val="31"/>
              </w:numPr>
              <w:rPr>
                <w:rFonts w:ascii="Tahoma" w:hAnsi="Tahoma" w:cs="Tahoma"/>
                <w:sz w:val="20"/>
                <w:szCs w:val="20"/>
              </w:rPr>
            </w:pPr>
            <w:r w:rsidRPr="00C20036">
              <w:rPr>
                <w:rFonts w:ascii="Tahoma" w:hAnsi="Tahoma" w:cs="Tahoma"/>
                <w:b/>
                <w:sz w:val="20"/>
                <w:szCs w:val="20"/>
              </w:rPr>
              <w:t>15 Temmuz Demokrasi ve Millî Birlik Günü:</w:t>
            </w:r>
            <w:r w:rsidRPr="00C20036">
              <w:rPr>
                <w:rFonts w:ascii="Tahoma" w:hAnsi="Tahoma" w:cs="Tahoma"/>
                <w:sz w:val="20"/>
                <w:szCs w:val="20"/>
              </w:rPr>
              <w:t xml:space="preserve"> Demokrasi ve millî birlik kavramlarını pekiştirmek amacıyla 15 Temmuz Demokrasi ve Millî Birlik Günü içeriğe ekleniyor.</w:t>
            </w:r>
          </w:p>
          <w:p w:rsidR="00C20036" w:rsidRPr="00C20036" w:rsidRDefault="00C20036" w:rsidP="00C20036">
            <w:pPr>
              <w:pStyle w:val="ListeParagraf"/>
              <w:numPr>
                <w:ilvl w:val="0"/>
                <w:numId w:val="31"/>
              </w:numPr>
              <w:rPr>
                <w:rFonts w:ascii="Tahoma" w:hAnsi="Tahoma" w:cs="Tahoma"/>
                <w:sz w:val="20"/>
                <w:szCs w:val="20"/>
              </w:rPr>
            </w:pPr>
            <w:r w:rsidRPr="00C20036">
              <w:rPr>
                <w:rFonts w:ascii="Tahoma" w:hAnsi="Tahoma" w:cs="Tahoma"/>
                <w:b/>
                <w:sz w:val="20"/>
                <w:szCs w:val="20"/>
              </w:rPr>
              <w:t>Çevrimiçi Ortamda Güvenlik Kuralları:</w:t>
            </w:r>
            <w:r w:rsidRPr="00C20036">
              <w:rPr>
                <w:rFonts w:ascii="Tahoma" w:hAnsi="Tahoma" w:cs="Tahoma"/>
                <w:sz w:val="20"/>
                <w:szCs w:val="20"/>
              </w:rPr>
              <w:t xml:space="preserve"> Dijital vatandaşlık bilincini geliştirmek için çevrimiçi ortamlarda güvenlik kuralları ve siber zorbalık gibi konulara yer veriliyor.</w:t>
            </w:r>
          </w:p>
          <w:p w:rsidR="00C20036" w:rsidRPr="00C20036" w:rsidRDefault="00C20036" w:rsidP="00C20036">
            <w:pPr>
              <w:pStyle w:val="ListeParagraf"/>
              <w:numPr>
                <w:ilvl w:val="0"/>
                <w:numId w:val="31"/>
              </w:numPr>
              <w:rPr>
                <w:rFonts w:ascii="Tahoma" w:hAnsi="Tahoma" w:cs="Tahoma"/>
                <w:sz w:val="20"/>
                <w:szCs w:val="20"/>
              </w:rPr>
            </w:pPr>
            <w:r w:rsidRPr="00C20036">
              <w:rPr>
                <w:rFonts w:ascii="Tahoma" w:hAnsi="Tahoma" w:cs="Tahoma"/>
                <w:b/>
                <w:sz w:val="20"/>
                <w:szCs w:val="20"/>
              </w:rPr>
              <w:t>Sıfır Atık Projesi:</w:t>
            </w:r>
            <w:r w:rsidRPr="00C20036">
              <w:rPr>
                <w:rFonts w:ascii="Tahoma" w:hAnsi="Tahoma" w:cs="Tahoma"/>
                <w:sz w:val="20"/>
                <w:szCs w:val="20"/>
              </w:rPr>
              <w:t xml:space="preserve"> Yeni program, sürdürülebilirlik bilincini artırmak için Sıfır Atık Projesi ve 5D yaklaşımını içeriğe dâhil ediyor.</w:t>
            </w:r>
          </w:p>
          <w:p w:rsidR="00C20036" w:rsidRPr="00C20036" w:rsidRDefault="00C20036" w:rsidP="00C20036">
            <w:pPr>
              <w:pStyle w:val="ListeParagraf"/>
              <w:numPr>
                <w:ilvl w:val="0"/>
                <w:numId w:val="31"/>
              </w:numPr>
              <w:rPr>
                <w:rFonts w:ascii="Tahoma" w:hAnsi="Tahoma" w:cs="Tahoma"/>
                <w:sz w:val="20"/>
                <w:szCs w:val="20"/>
              </w:rPr>
            </w:pPr>
            <w:r w:rsidRPr="00C20036">
              <w:rPr>
                <w:rFonts w:ascii="Tahoma" w:hAnsi="Tahoma" w:cs="Tahoma"/>
                <w:b/>
                <w:sz w:val="20"/>
                <w:szCs w:val="20"/>
              </w:rPr>
              <w:t>Bilim İnsanlarının Çocukluk Hayatları:</w:t>
            </w:r>
            <w:r w:rsidRPr="00C20036">
              <w:rPr>
                <w:rFonts w:ascii="Tahoma" w:hAnsi="Tahoma" w:cs="Tahoma"/>
                <w:sz w:val="20"/>
                <w:szCs w:val="20"/>
              </w:rPr>
              <w:t xml:space="preserve"> Öğrencilere bilime karşı olumlu bir bakış açısı kazandırmak amacıyla farklı bilim insanlarının çocukluk hayatları ve başarı öykülerine yer veriliyor.</w:t>
            </w:r>
          </w:p>
          <w:p w:rsidR="00C20036" w:rsidRPr="00C20036" w:rsidRDefault="00C20036" w:rsidP="00C20036">
            <w:pPr>
              <w:rPr>
                <w:rFonts w:ascii="Tahoma" w:hAnsi="Tahoma" w:cs="Tahoma"/>
                <w:b/>
                <w:sz w:val="20"/>
                <w:szCs w:val="20"/>
              </w:rPr>
            </w:pPr>
            <w:r w:rsidRPr="00C20036">
              <w:rPr>
                <w:rFonts w:ascii="Tahoma" w:hAnsi="Tahoma" w:cs="Tahoma"/>
                <w:b/>
                <w:sz w:val="20"/>
                <w:szCs w:val="20"/>
              </w:rPr>
              <w:t>Kaldırılan İçerikler:</w:t>
            </w:r>
          </w:p>
          <w:p w:rsidR="00C20036" w:rsidRPr="00C20036" w:rsidRDefault="00C20036" w:rsidP="00C20036">
            <w:pPr>
              <w:pStyle w:val="ListeParagraf"/>
              <w:numPr>
                <w:ilvl w:val="0"/>
                <w:numId w:val="30"/>
              </w:numPr>
              <w:rPr>
                <w:rFonts w:ascii="Tahoma" w:hAnsi="Tahoma" w:cs="Tahoma"/>
                <w:sz w:val="20"/>
                <w:szCs w:val="20"/>
              </w:rPr>
            </w:pPr>
            <w:r w:rsidRPr="00C20036">
              <w:rPr>
                <w:rFonts w:ascii="Tahoma" w:hAnsi="Tahoma" w:cs="Tahoma"/>
                <w:sz w:val="20"/>
                <w:szCs w:val="20"/>
              </w:rPr>
              <w:t>Eski programda yer alan bazı tarihsel olay ve kişilerin detaylı biyografileri.</w:t>
            </w:r>
          </w:p>
          <w:p w:rsidR="00C20036" w:rsidRPr="00C20036" w:rsidRDefault="00C20036" w:rsidP="00C20036">
            <w:pPr>
              <w:pStyle w:val="ListeParagraf"/>
              <w:numPr>
                <w:ilvl w:val="0"/>
                <w:numId w:val="30"/>
              </w:numPr>
              <w:rPr>
                <w:rFonts w:ascii="Tahoma" w:hAnsi="Tahoma" w:cs="Tahoma"/>
                <w:sz w:val="20"/>
                <w:szCs w:val="20"/>
              </w:rPr>
            </w:pPr>
            <w:r w:rsidRPr="00C20036">
              <w:rPr>
                <w:rFonts w:ascii="Tahoma" w:hAnsi="Tahoma" w:cs="Tahoma"/>
                <w:sz w:val="20"/>
                <w:szCs w:val="20"/>
              </w:rPr>
              <w:t>Detaylı coğrafi bilgiler.</w:t>
            </w:r>
          </w:p>
          <w:p w:rsidR="003453A6" w:rsidRPr="00C20036" w:rsidRDefault="00C20036" w:rsidP="00C20036">
            <w:pPr>
              <w:pStyle w:val="ListeParagraf"/>
              <w:numPr>
                <w:ilvl w:val="0"/>
                <w:numId w:val="30"/>
              </w:numPr>
              <w:rPr>
                <w:rFonts w:ascii="Tahoma" w:hAnsi="Tahoma" w:cs="Tahoma"/>
                <w:sz w:val="20"/>
                <w:szCs w:val="20"/>
              </w:rPr>
            </w:pPr>
            <w:r w:rsidRPr="00C20036">
              <w:rPr>
                <w:rFonts w:ascii="Tahoma" w:hAnsi="Tahoma" w:cs="Tahoma"/>
                <w:sz w:val="20"/>
                <w:szCs w:val="20"/>
              </w:rPr>
              <w:t>Ekonomi ve hukuk sistemleri ile ilgili karmaşık açıklamalar.</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9A53E7" w:rsidRPr="009A53E7" w:rsidRDefault="009A53E7" w:rsidP="009A53E7">
            <w:pPr>
              <w:rPr>
                <w:rFonts w:ascii="Tahoma" w:hAnsi="Tahoma" w:cs="Tahoma"/>
                <w:sz w:val="20"/>
                <w:szCs w:val="20"/>
              </w:rPr>
            </w:pPr>
            <w:r w:rsidRPr="009A53E7">
              <w:rPr>
                <w:rFonts w:ascii="Tahoma" w:hAnsi="Tahoma" w:cs="Tahoma"/>
                <w:sz w:val="20"/>
                <w:szCs w:val="20"/>
              </w:rPr>
              <w:t>Eski programda ağırlıklı olarak ölçme odaklı bir değerlendirme yaklaşımı benimsenirken, Maarif Modeli biçimlendirici değerlendirmeyi temel almaktadır. Öğrencinin öğrenme süreci boyunca gelişiminin izlenmesi ve geri bildirim sağlanması esas alınır.</w:t>
            </w:r>
          </w:p>
          <w:p w:rsidR="009A53E7" w:rsidRDefault="009A53E7" w:rsidP="009A53E7">
            <w:pPr>
              <w:rPr>
                <w:rFonts w:ascii="Tahoma" w:hAnsi="Tahoma" w:cs="Tahoma"/>
                <w:b/>
                <w:sz w:val="20"/>
                <w:szCs w:val="20"/>
              </w:rPr>
            </w:pPr>
          </w:p>
          <w:p w:rsidR="009A53E7" w:rsidRPr="009A53E7" w:rsidRDefault="009A53E7" w:rsidP="009A53E7">
            <w:pPr>
              <w:rPr>
                <w:rFonts w:ascii="Tahoma" w:hAnsi="Tahoma" w:cs="Tahoma"/>
                <w:b/>
                <w:sz w:val="20"/>
                <w:szCs w:val="20"/>
              </w:rPr>
            </w:pPr>
            <w:r w:rsidRPr="009A53E7">
              <w:rPr>
                <w:rFonts w:ascii="Tahoma" w:hAnsi="Tahoma" w:cs="Tahoma"/>
                <w:b/>
                <w:sz w:val="20"/>
                <w:szCs w:val="20"/>
              </w:rPr>
              <w:t>Örnek Öğrenme Çıktısı:</w:t>
            </w:r>
          </w:p>
          <w:p w:rsidR="009A53E7" w:rsidRPr="009A53E7" w:rsidRDefault="009A53E7" w:rsidP="009A53E7">
            <w:pPr>
              <w:rPr>
                <w:rFonts w:ascii="Tahoma" w:hAnsi="Tahoma" w:cs="Tahoma"/>
                <w:sz w:val="20"/>
                <w:szCs w:val="20"/>
              </w:rPr>
            </w:pPr>
            <w:r w:rsidRPr="009A53E7">
              <w:rPr>
                <w:rFonts w:ascii="Tahoma" w:hAnsi="Tahoma" w:cs="Tahoma"/>
                <w:sz w:val="20"/>
                <w:szCs w:val="20"/>
              </w:rPr>
              <w:t>SB.4.3.3. Yakın çevresindeki ortak miras ögelerini tanımanın önemini yorumlayabilme.</w:t>
            </w:r>
          </w:p>
          <w:p w:rsidR="009A53E7" w:rsidRPr="009A53E7" w:rsidRDefault="009A53E7" w:rsidP="009A53E7">
            <w:pPr>
              <w:rPr>
                <w:rFonts w:ascii="Tahoma" w:hAnsi="Tahoma" w:cs="Tahoma"/>
                <w:b/>
                <w:sz w:val="20"/>
                <w:szCs w:val="20"/>
              </w:rPr>
            </w:pPr>
            <w:r w:rsidRPr="009A53E7">
              <w:rPr>
                <w:rFonts w:ascii="Tahoma" w:hAnsi="Tahoma" w:cs="Tahoma"/>
                <w:b/>
                <w:sz w:val="20"/>
                <w:szCs w:val="20"/>
              </w:rPr>
              <w:t>Ölçme ve Değerlendirme:</w:t>
            </w:r>
          </w:p>
          <w:p w:rsidR="009A53E7" w:rsidRPr="009A53E7" w:rsidRDefault="009A53E7" w:rsidP="009A53E7">
            <w:pPr>
              <w:pStyle w:val="ListeParagraf"/>
              <w:numPr>
                <w:ilvl w:val="0"/>
                <w:numId w:val="26"/>
              </w:numPr>
              <w:rPr>
                <w:rFonts w:ascii="Tahoma" w:hAnsi="Tahoma" w:cs="Tahoma"/>
                <w:sz w:val="20"/>
                <w:szCs w:val="20"/>
              </w:rPr>
            </w:pPr>
            <w:r w:rsidRPr="009A53E7">
              <w:rPr>
                <w:rFonts w:ascii="Tahoma" w:hAnsi="Tahoma" w:cs="Tahoma"/>
                <w:b/>
                <w:sz w:val="20"/>
                <w:szCs w:val="20"/>
              </w:rPr>
              <w:t>Öğrenme Günlükleri:</w:t>
            </w:r>
            <w:r w:rsidRPr="009A53E7">
              <w:rPr>
                <w:rFonts w:ascii="Tahoma" w:hAnsi="Tahoma" w:cs="Tahoma"/>
                <w:sz w:val="20"/>
                <w:szCs w:val="20"/>
              </w:rPr>
              <w:t xml:space="preserve"> Öğrenciler, gezi gözlem ve müze gezileri sırasında öğrendikleri ortak miras ögeleri hakkında günlük tutabilirler.</w:t>
            </w:r>
          </w:p>
          <w:p w:rsidR="009A53E7" w:rsidRPr="009A53E7" w:rsidRDefault="009A53E7" w:rsidP="009A53E7">
            <w:pPr>
              <w:pStyle w:val="ListeParagraf"/>
              <w:numPr>
                <w:ilvl w:val="0"/>
                <w:numId w:val="26"/>
              </w:numPr>
              <w:rPr>
                <w:rFonts w:ascii="Tahoma" w:hAnsi="Tahoma" w:cs="Tahoma"/>
                <w:sz w:val="20"/>
                <w:szCs w:val="20"/>
              </w:rPr>
            </w:pPr>
            <w:r w:rsidRPr="009A53E7">
              <w:rPr>
                <w:rFonts w:ascii="Tahoma" w:hAnsi="Tahoma" w:cs="Tahoma"/>
                <w:b/>
                <w:sz w:val="20"/>
                <w:szCs w:val="20"/>
              </w:rPr>
              <w:t>Kontrol Listesi:</w:t>
            </w:r>
            <w:r w:rsidRPr="009A53E7">
              <w:rPr>
                <w:rFonts w:ascii="Tahoma" w:hAnsi="Tahoma" w:cs="Tahoma"/>
                <w:sz w:val="20"/>
                <w:szCs w:val="20"/>
              </w:rPr>
              <w:t xml:space="preserve"> Öğretmen, öğrencilerin yakın çevrelerindeki belirli ortak miras ögelerini tanıyıp tanımadıklarını kontrol listesiyle değerlendirebilir.</w:t>
            </w:r>
          </w:p>
          <w:p w:rsidR="009A53E7" w:rsidRPr="009A53E7" w:rsidRDefault="009A53E7" w:rsidP="009A53E7">
            <w:pPr>
              <w:pStyle w:val="ListeParagraf"/>
              <w:numPr>
                <w:ilvl w:val="0"/>
                <w:numId w:val="26"/>
              </w:numPr>
              <w:rPr>
                <w:rFonts w:ascii="Tahoma" w:hAnsi="Tahoma" w:cs="Tahoma"/>
                <w:sz w:val="20"/>
                <w:szCs w:val="20"/>
              </w:rPr>
            </w:pPr>
            <w:r w:rsidRPr="009A53E7">
              <w:rPr>
                <w:rFonts w:ascii="Tahoma" w:hAnsi="Tahoma" w:cs="Tahoma"/>
                <w:b/>
                <w:sz w:val="20"/>
                <w:szCs w:val="20"/>
              </w:rPr>
              <w:t>Sınıf Tartışmaları:</w:t>
            </w:r>
            <w:r w:rsidRPr="009A53E7">
              <w:rPr>
                <w:rFonts w:ascii="Tahoma" w:hAnsi="Tahoma" w:cs="Tahoma"/>
                <w:sz w:val="20"/>
                <w:szCs w:val="20"/>
              </w:rPr>
              <w:t xml:space="preserve"> Öğrenciler, ortak mirasın korunması ve önemi hakkında sınıf tartışmalarına katılarak fikirlerini paylaşabilirler.</w:t>
            </w:r>
          </w:p>
          <w:p w:rsidR="009A53E7" w:rsidRPr="009A53E7" w:rsidRDefault="009A53E7" w:rsidP="009A53E7">
            <w:pPr>
              <w:pStyle w:val="ListeParagraf"/>
              <w:numPr>
                <w:ilvl w:val="0"/>
                <w:numId w:val="26"/>
              </w:numPr>
              <w:rPr>
                <w:rFonts w:ascii="Tahoma" w:hAnsi="Tahoma" w:cs="Tahoma"/>
                <w:sz w:val="20"/>
                <w:szCs w:val="20"/>
              </w:rPr>
            </w:pPr>
            <w:r w:rsidRPr="009A53E7">
              <w:rPr>
                <w:rFonts w:ascii="Tahoma" w:hAnsi="Tahoma" w:cs="Tahoma"/>
                <w:b/>
                <w:sz w:val="20"/>
                <w:szCs w:val="20"/>
              </w:rPr>
              <w:t>Performans Görevi:</w:t>
            </w:r>
            <w:r w:rsidRPr="009A53E7">
              <w:rPr>
                <w:rFonts w:ascii="Tahoma" w:hAnsi="Tahoma" w:cs="Tahoma"/>
                <w:sz w:val="20"/>
                <w:szCs w:val="20"/>
              </w:rPr>
              <w:t xml:space="preserve"> Öğrenciler, yakın çevrelerindeki bir ortak miras ögesi hakkında araştırma yapıp sunum hazırlayabilirler.</w:t>
            </w:r>
          </w:p>
          <w:p w:rsidR="009A53E7" w:rsidRPr="009A53E7" w:rsidRDefault="009A53E7" w:rsidP="009A53E7">
            <w:pPr>
              <w:rPr>
                <w:rFonts w:ascii="Tahoma" w:hAnsi="Tahoma" w:cs="Tahoma"/>
                <w:b/>
                <w:sz w:val="20"/>
                <w:szCs w:val="20"/>
              </w:rPr>
            </w:pPr>
            <w:r w:rsidRPr="009A53E7">
              <w:rPr>
                <w:rFonts w:ascii="Tahoma" w:hAnsi="Tahoma" w:cs="Tahoma"/>
                <w:b/>
                <w:sz w:val="20"/>
                <w:szCs w:val="20"/>
              </w:rPr>
              <w:t>Görüşler:</w:t>
            </w:r>
          </w:p>
          <w:p w:rsidR="009A53E7" w:rsidRPr="009A53E7" w:rsidRDefault="009A53E7" w:rsidP="009A53E7">
            <w:pPr>
              <w:pStyle w:val="ListeParagraf"/>
              <w:numPr>
                <w:ilvl w:val="0"/>
                <w:numId w:val="27"/>
              </w:numPr>
              <w:rPr>
                <w:rFonts w:ascii="Tahoma" w:hAnsi="Tahoma" w:cs="Tahoma"/>
                <w:sz w:val="20"/>
                <w:szCs w:val="20"/>
              </w:rPr>
            </w:pPr>
            <w:r w:rsidRPr="009A53E7">
              <w:rPr>
                <w:rFonts w:ascii="Tahoma" w:hAnsi="Tahoma" w:cs="Tahoma"/>
                <w:sz w:val="20"/>
                <w:szCs w:val="20"/>
              </w:rPr>
              <w:t>Biçimlendirici değerlendirme, öğrencilerin gelişimini izlemek ve geri bildirim sağlamak için etkili bir yöntemdir.</w:t>
            </w:r>
          </w:p>
          <w:p w:rsidR="009A53E7" w:rsidRPr="009A53E7" w:rsidRDefault="009A53E7" w:rsidP="009A53E7">
            <w:pPr>
              <w:pStyle w:val="ListeParagraf"/>
              <w:numPr>
                <w:ilvl w:val="0"/>
                <w:numId w:val="27"/>
              </w:numPr>
              <w:rPr>
                <w:rFonts w:ascii="Tahoma" w:hAnsi="Tahoma" w:cs="Tahoma"/>
                <w:sz w:val="20"/>
                <w:szCs w:val="20"/>
              </w:rPr>
            </w:pPr>
            <w:r w:rsidRPr="009A53E7">
              <w:rPr>
                <w:rFonts w:ascii="Tahoma" w:hAnsi="Tahoma" w:cs="Tahoma"/>
                <w:sz w:val="20"/>
                <w:szCs w:val="20"/>
              </w:rPr>
              <w:t>Farklı ölçme ve değerlendirme araçları kullanarak öğrencilerin farklı öğrenme stillerine hitap edilebilir.</w:t>
            </w:r>
          </w:p>
          <w:p w:rsidR="003453A6" w:rsidRPr="009A53E7" w:rsidRDefault="009A53E7" w:rsidP="009A53E7">
            <w:pPr>
              <w:pStyle w:val="ListeParagraf"/>
              <w:numPr>
                <w:ilvl w:val="0"/>
                <w:numId w:val="27"/>
              </w:numPr>
              <w:rPr>
                <w:rFonts w:ascii="Tahoma" w:hAnsi="Tahoma" w:cs="Tahoma"/>
                <w:sz w:val="20"/>
                <w:szCs w:val="20"/>
              </w:rPr>
            </w:pPr>
            <w:r w:rsidRPr="009A53E7">
              <w:rPr>
                <w:rFonts w:ascii="Tahoma" w:hAnsi="Tahoma" w:cs="Tahoma"/>
                <w:sz w:val="20"/>
                <w:szCs w:val="20"/>
              </w:rPr>
              <w:t>Öğrenci katılımını teşvik eden ve gerçek hayatla bağlantılı değerlendirme yöntemleri kullanılmalıdır.</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9A53E7" w:rsidRPr="009A53E7" w:rsidRDefault="009A53E7" w:rsidP="009A53E7">
            <w:pPr>
              <w:rPr>
                <w:rFonts w:ascii="Tahoma" w:hAnsi="Tahoma" w:cs="Tahoma"/>
                <w:b/>
                <w:sz w:val="20"/>
                <w:szCs w:val="20"/>
              </w:rPr>
            </w:pPr>
            <w:r w:rsidRPr="009A53E7">
              <w:rPr>
                <w:rFonts w:ascii="Tahoma" w:hAnsi="Tahoma" w:cs="Tahoma"/>
                <w:b/>
                <w:sz w:val="20"/>
                <w:szCs w:val="20"/>
              </w:rPr>
              <w:t>Örnek Tema: 4. sınıf "Yaşayan Demokrasimiz"</w:t>
            </w:r>
          </w:p>
          <w:p w:rsidR="009A53E7" w:rsidRDefault="009A53E7" w:rsidP="009A53E7">
            <w:pPr>
              <w:rPr>
                <w:rFonts w:ascii="Tahoma" w:hAnsi="Tahoma" w:cs="Tahoma"/>
                <w:b/>
                <w:sz w:val="20"/>
                <w:szCs w:val="20"/>
              </w:rPr>
            </w:pPr>
          </w:p>
          <w:p w:rsidR="009A53E7" w:rsidRPr="009A53E7" w:rsidRDefault="009A53E7" w:rsidP="009A53E7">
            <w:pPr>
              <w:rPr>
                <w:rFonts w:ascii="Tahoma" w:hAnsi="Tahoma" w:cs="Tahoma"/>
                <w:b/>
                <w:sz w:val="20"/>
                <w:szCs w:val="20"/>
              </w:rPr>
            </w:pPr>
            <w:r w:rsidRPr="009A53E7">
              <w:rPr>
                <w:rFonts w:ascii="Tahoma" w:hAnsi="Tahoma" w:cs="Tahoma"/>
                <w:b/>
                <w:sz w:val="20"/>
                <w:szCs w:val="20"/>
              </w:rPr>
              <w:t>Program Bileşenlerinin İşlenmesi:</w:t>
            </w:r>
          </w:p>
          <w:p w:rsidR="009A53E7" w:rsidRPr="009A53E7" w:rsidRDefault="009A53E7" w:rsidP="009A53E7">
            <w:pPr>
              <w:pStyle w:val="ListeParagraf"/>
              <w:numPr>
                <w:ilvl w:val="0"/>
                <w:numId w:val="28"/>
              </w:numPr>
              <w:rPr>
                <w:rFonts w:ascii="Tahoma" w:hAnsi="Tahoma" w:cs="Tahoma"/>
                <w:sz w:val="20"/>
                <w:szCs w:val="20"/>
              </w:rPr>
            </w:pPr>
            <w:r w:rsidRPr="009A53E7">
              <w:rPr>
                <w:rFonts w:ascii="Tahoma" w:hAnsi="Tahoma" w:cs="Tahoma"/>
                <w:b/>
                <w:sz w:val="20"/>
                <w:szCs w:val="20"/>
              </w:rPr>
              <w:lastRenderedPageBreak/>
              <w:t>Erdem-Değer-Eylem Modeli:</w:t>
            </w:r>
            <w:r w:rsidRPr="009A53E7">
              <w:rPr>
                <w:rFonts w:ascii="Tahoma" w:hAnsi="Tahoma" w:cs="Tahoma"/>
                <w:sz w:val="20"/>
                <w:szCs w:val="20"/>
              </w:rPr>
              <w:t xml:space="preserve"> Demokratik katılım, vatanseverlik, saygı, sorumluluk gibi değerler, öğrenme yaşantıları ve performans görevleri aracılığıyla ele alınır. Örneğin, öğrencilerden Mustafa Kemal Atatürk ve Türk Milletinin Cumhuriyetin ilanı yolundaki </w:t>
            </w:r>
            <w:proofErr w:type="gramStart"/>
            <w:r w:rsidRPr="009A53E7">
              <w:rPr>
                <w:rFonts w:ascii="Tahoma" w:hAnsi="Tahoma" w:cs="Tahoma"/>
                <w:sz w:val="20"/>
                <w:szCs w:val="20"/>
              </w:rPr>
              <w:t>fedakarlıklarını</w:t>
            </w:r>
            <w:proofErr w:type="gramEnd"/>
            <w:r w:rsidRPr="009A53E7">
              <w:rPr>
                <w:rFonts w:ascii="Tahoma" w:hAnsi="Tahoma" w:cs="Tahoma"/>
                <w:sz w:val="20"/>
                <w:szCs w:val="20"/>
              </w:rPr>
              <w:t xml:space="preserve"> anlatan bir albüm oluşturmaları istenerek vatanseverlik ve sorumluluk değerleri işlenir.</w:t>
            </w:r>
          </w:p>
          <w:p w:rsidR="009A53E7" w:rsidRPr="009A53E7" w:rsidRDefault="009A53E7" w:rsidP="009A53E7">
            <w:pPr>
              <w:pStyle w:val="ListeParagraf"/>
              <w:numPr>
                <w:ilvl w:val="0"/>
                <w:numId w:val="28"/>
              </w:numPr>
              <w:rPr>
                <w:rFonts w:ascii="Tahoma" w:hAnsi="Tahoma" w:cs="Tahoma"/>
                <w:sz w:val="20"/>
                <w:szCs w:val="20"/>
              </w:rPr>
            </w:pPr>
            <w:r w:rsidRPr="009A53E7">
              <w:rPr>
                <w:rFonts w:ascii="Tahoma" w:hAnsi="Tahoma" w:cs="Tahoma"/>
                <w:b/>
                <w:sz w:val="20"/>
                <w:szCs w:val="20"/>
              </w:rPr>
              <w:t>Okuryazarlık Becerileri:</w:t>
            </w:r>
            <w:r w:rsidRPr="009A53E7">
              <w:rPr>
                <w:rFonts w:ascii="Tahoma" w:hAnsi="Tahoma" w:cs="Tahoma"/>
                <w:sz w:val="20"/>
                <w:szCs w:val="20"/>
              </w:rPr>
              <w:t xml:space="preserve"> Bilgi okuryazarlığı, görsel okuryazarlık ve vatandaşlık okuryazarlığı becerileri, öğrencilerin konuyu anlamalarını ve analiz etmelerini sağlamak için kullanılır. Örneğin, öğrencilere Cumhuriyet dönemi ile ilgili görsel ve yazılı kaynaklar sunularak bilgi okuryazarlığı becerileri desteklenir.</w:t>
            </w:r>
          </w:p>
          <w:p w:rsidR="00FB7606" w:rsidRPr="009A53E7" w:rsidRDefault="009A53E7" w:rsidP="009A53E7">
            <w:pPr>
              <w:pStyle w:val="ListeParagraf"/>
              <w:numPr>
                <w:ilvl w:val="0"/>
                <w:numId w:val="28"/>
              </w:numPr>
              <w:rPr>
                <w:rFonts w:ascii="Tahoma" w:hAnsi="Tahoma" w:cs="Tahoma"/>
                <w:sz w:val="20"/>
                <w:szCs w:val="20"/>
              </w:rPr>
            </w:pPr>
            <w:r w:rsidRPr="009A53E7">
              <w:rPr>
                <w:rFonts w:ascii="Tahoma" w:hAnsi="Tahoma" w:cs="Tahoma"/>
                <w:b/>
                <w:sz w:val="20"/>
                <w:szCs w:val="20"/>
              </w:rPr>
              <w:t>Sosyal-Duygusal Öğrenme Becerileri:</w:t>
            </w:r>
            <w:r w:rsidRPr="009A53E7">
              <w:rPr>
                <w:rFonts w:ascii="Tahoma" w:hAnsi="Tahoma" w:cs="Tahoma"/>
                <w:sz w:val="20"/>
                <w:szCs w:val="20"/>
              </w:rPr>
              <w:t xml:space="preserve"> Empati, iş birliği, sosyal farkındalık ve sorumlu karar verme becerileri, öğrencilerin konuyu daha derinlemesine anlamalarına ve kendi hayatlarıyla ilişkilendirmesine yardımcı olur. Örneğin, öğrencilerin okulda karar alma süreçlerine katılmalarını sağlayarak sosyal katılım ve sorumlu karar verme becerileri desteklenir.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lastRenderedPageBreak/>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9A53E7" w:rsidRPr="009A53E7" w:rsidRDefault="009A53E7" w:rsidP="009A53E7">
            <w:pPr>
              <w:rPr>
                <w:rFonts w:ascii="Tahoma" w:hAnsi="Tahoma" w:cs="Tahoma"/>
                <w:b/>
                <w:sz w:val="20"/>
                <w:szCs w:val="20"/>
              </w:rPr>
            </w:pPr>
            <w:r w:rsidRPr="009A53E7">
              <w:rPr>
                <w:rFonts w:ascii="Tahoma" w:hAnsi="Tahoma" w:cs="Tahoma"/>
                <w:b/>
                <w:sz w:val="20"/>
                <w:szCs w:val="20"/>
              </w:rPr>
              <w:t>Farklılaştırma Türleri:</w:t>
            </w:r>
          </w:p>
          <w:p w:rsidR="009A53E7" w:rsidRPr="009A53E7" w:rsidRDefault="009A53E7" w:rsidP="009A53E7">
            <w:pPr>
              <w:pStyle w:val="ListeParagraf"/>
              <w:numPr>
                <w:ilvl w:val="0"/>
                <w:numId w:val="29"/>
              </w:numPr>
              <w:rPr>
                <w:rFonts w:ascii="Tahoma" w:hAnsi="Tahoma" w:cs="Tahoma"/>
                <w:sz w:val="20"/>
                <w:szCs w:val="20"/>
              </w:rPr>
            </w:pPr>
            <w:r w:rsidRPr="009A53E7">
              <w:rPr>
                <w:rFonts w:ascii="Tahoma" w:hAnsi="Tahoma" w:cs="Tahoma"/>
                <w:b/>
                <w:sz w:val="20"/>
                <w:szCs w:val="20"/>
              </w:rPr>
              <w:t>İçerik Farklılaştırması:</w:t>
            </w:r>
            <w:r w:rsidRPr="009A53E7">
              <w:rPr>
                <w:rFonts w:ascii="Tahoma" w:hAnsi="Tahoma" w:cs="Tahoma"/>
                <w:sz w:val="20"/>
                <w:szCs w:val="20"/>
              </w:rPr>
              <w:t xml:space="preserve"> Konunun zorluk seviyesi, öğrencilerin </w:t>
            </w:r>
            <w:proofErr w:type="spellStart"/>
            <w:r w:rsidRPr="009A53E7">
              <w:rPr>
                <w:rFonts w:ascii="Tahoma" w:hAnsi="Tahoma" w:cs="Tahoma"/>
                <w:sz w:val="20"/>
                <w:szCs w:val="20"/>
              </w:rPr>
              <w:t>hazırbulunuşluk</w:t>
            </w:r>
            <w:proofErr w:type="spellEnd"/>
            <w:r w:rsidRPr="009A53E7">
              <w:rPr>
                <w:rFonts w:ascii="Tahoma" w:hAnsi="Tahoma" w:cs="Tahoma"/>
                <w:sz w:val="20"/>
                <w:szCs w:val="20"/>
              </w:rPr>
              <w:t xml:space="preserve"> düzeyine göre ayarlanabilir.</w:t>
            </w:r>
          </w:p>
          <w:p w:rsidR="009A53E7" w:rsidRPr="009A53E7" w:rsidRDefault="009A53E7" w:rsidP="009A53E7">
            <w:pPr>
              <w:pStyle w:val="ListeParagraf"/>
              <w:numPr>
                <w:ilvl w:val="0"/>
                <w:numId w:val="29"/>
              </w:numPr>
              <w:rPr>
                <w:rFonts w:ascii="Tahoma" w:hAnsi="Tahoma" w:cs="Tahoma"/>
                <w:sz w:val="20"/>
                <w:szCs w:val="20"/>
              </w:rPr>
            </w:pPr>
            <w:r w:rsidRPr="009A53E7">
              <w:rPr>
                <w:rFonts w:ascii="Tahoma" w:hAnsi="Tahoma" w:cs="Tahoma"/>
                <w:b/>
                <w:sz w:val="20"/>
                <w:szCs w:val="20"/>
              </w:rPr>
              <w:t>Süreç Farklılaştırması:</w:t>
            </w:r>
            <w:r w:rsidRPr="009A53E7">
              <w:rPr>
                <w:rFonts w:ascii="Tahoma" w:hAnsi="Tahoma" w:cs="Tahoma"/>
                <w:sz w:val="20"/>
                <w:szCs w:val="20"/>
              </w:rPr>
              <w:t xml:space="preserve"> Öğrenme etkinlikleri, öğrencilerin farklı öğrenme stillerine hitap edecek şekilde çeşitlendirilebilir.</w:t>
            </w:r>
          </w:p>
          <w:p w:rsidR="009A53E7" w:rsidRPr="009A53E7" w:rsidRDefault="009A53E7" w:rsidP="009A53E7">
            <w:pPr>
              <w:pStyle w:val="ListeParagraf"/>
              <w:numPr>
                <w:ilvl w:val="0"/>
                <w:numId w:val="29"/>
              </w:numPr>
              <w:rPr>
                <w:rFonts w:ascii="Tahoma" w:hAnsi="Tahoma" w:cs="Tahoma"/>
                <w:sz w:val="20"/>
                <w:szCs w:val="20"/>
              </w:rPr>
            </w:pPr>
            <w:r w:rsidRPr="009A53E7">
              <w:rPr>
                <w:rFonts w:ascii="Tahoma" w:hAnsi="Tahoma" w:cs="Tahoma"/>
                <w:b/>
                <w:sz w:val="20"/>
                <w:szCs w:val="20"/>
              </w:rPr>
              <w:t>Ürün Farklılaştırması:</w:t>
            </w:r>
            <w:r w:rsidRPr="009A53E7">
              <w:rPr>
                <w:rFonts w:ascii="Tahoma" w:hAnsi="Tahoma" w:cs="Tahoma"/>
                <w:sz w:val="20"/>
                <w:szCs w:val="20"/>
              </w:rPr>
              <w:t xml:space="preserve"> Öğrencilerden farklı türde ürünler ortaya koymaları istenebilir (yazılı, görsel, sözlü, dijital).</w:t>
            </w:r>
          </w:p>
          <w:p w:rsidR="009A53E7" w:rsidRPr="009A53E7" w:rsidRDefault="009A53E7" w:rsidP="009A53E7">
            <w:pPr>
              <w:rPr>
                <w:rFonts w:ascii="Tahoma" w:hAnsi="Tahoma" w:cs="Tahoma"/>
                <w:b/>
                <w:sz w:val="20"/>
                <w:szCs w:val="20"/>
              </w:rPr>
            </w:pPr>
            <w:r w:rsidRPr="009A53E7">
              <w:rPr>
                <w:rFonts w:ascii="Tahoma" w:hAnsi="Tahoma" w:cs="Tahoma"/>
                <w:b/>
                <w:sz w:val="20"/>
                <w:szCs w:val="20"/>
              </w:rPr>
              <w:t>Zenginleştirme Gerektiren Durumlar:</w:t>
            </w:r>
          </w:p>
          <w:p w:rsidR="009A53E7" w:rsidRPr="009A53E7" w:rsidRDefault="009A53E7" w:rsidP="009A53E7">
            <w:pPr>
              <w:rPr>
                <w:rFonts w:ascii="Tahoma" w:hAnsi="Tahoma" w:cs="Tahoma"/>
                <w:sz w:val="20"/>
                <w:szCs w:val="20"/>
              </w:rPr>
            </w:pPr>
            <w:r w:rsidRPr="009A53E7">
              <w:rPr>
                <w:rFonts w:ascii="Tahoma" w:hAnsi="Tahoma" w:cs="Tahoma"/>
                <w:sz w:val="20"/>
                <w:szCs w:val="20"/>
              </w:rPr>
              <w:t>Üst düzey düşünme becerileri gelişmiş öğrenciler için daha zorlayıcı ve derinlemesine öğrenme etkinlikleri (araştırma projeleri, tartışma grupları, yaratıcı yazma etkinlikleri).</w:t>
            </w:r>
          </w:p>
          <w:p w:rsidR="009A53E7" w:rsidRPr="009A53E7" w:rsidRDefault="009A53E7" w:rsidP="009A53E7">
            <w:pPr>
              <w:rPr>
                <w:rFonts w:ascii="Tahoma" w:hAnsi="Tahoma" w:cs="Tahoma"/>
                <w:b/>
                <w:sz w:val="20"/>
                <w:szCs w:val="20"/>
              </w:rPr>
            </w:pPr>
            <w:r w:rsidRPr="009A53E7">
              <w:rPr>
                <w:rFonts w:ascii="Tahoma" w:hAnsi="Tahoma" w:cs="Tahoma"/>
                <w:b/>
                <w:sz w:val="20"/>
                <w:szCs w:val="20"/>
              </w:rPr>
              <w:t>Destekleme Gerektiren Durumlar:</w:t>
            </w:r>
          </w:p>
          <w:p w:rsidR="009A53E7" w:rsidRPr="009A53E7" w:rsidRDefault="009A53E7" w:rsidP="009A53E7">
            <w:pPr>
              <w:rPr>
                <w:rFonts w:ascii="Tahoma" w:hAnsi="Tahoma" w:cs="Tahoma"/>
                <w:sz w:val="20"/>
                <w:szCs w:val="20"/>
              </w:rPr>
            </w:pPr>
            <w:r w:rsidRPr="009A53E7">
              <w:rPr>
                <w:rFonts w:ascii="Tahoma" w:hAnsi="Tahoma" w:cs="Tahoma"/>
                <w:sz w:val="20"/>
                <w:szCs w:val="20"/>
              </w:rPr>
              <w:t>Öğrenme güçlüğü çeken öğrenciler için daha basit ve somut öğrenme materyalleri (görseller, videolar, oyunlar).</w:t>
            </w:r>
          </w:p>
          <w:p w:rsidR="009A53E7" w:rsidRPr="009A53E7" w:rsidRDefault="009A53E7" w:rsidP="009A53E7">
            <w:pPr>
              <w:rPr>
                <w:rFonts w:ascii="Tahoma" w:hAnsi="Tahoma" w:cs="Tahoma"/>
                <w:sz w:val="20"/>
                <w:szCs w:val="20"/>
              </w:rPr>
            </w:pPr>
            <w:r w:rsidRPr="009A53E7">
              <w:rPr>
                <w:rFonts w:ascii="Tahoma" w:hAnsi="Tahoma" w:cs="Tahoma"/>
                <w:sz w:val="20"/>
                <w:szCs w:val="20"/>
              </w:rPr>
              <w:t>Kavram yanılgısı yaşayan öğrenciler için kavram öğretimi teknikleri (örnek olay incelemesi, kavram haritaları).</w:t>
            </w:r>
          </w:p>
          <w:p w:rsidR="00721380" w:rsidRPr="00D92A09" w:rsidRDefault="009A53E7" w:rsidP="009A53E7">
            <w:pPr>
              <w:rPr>
                <w:rFonts w:ascii="Tahoma" w:hAnsi="Tahoma" w:cs="Tahoma"/>
                <w:sz w:val="20"/>
                <w:szCs w:val="20"/>
              </w:rPr>
            </w:pPr>
            <w:r w:rsidRPr="009A53E7">
              <w:rPr>
                <w:rFonts w:ascii="Tahoma" w:hAnsi="Tahoma" w:cs="Tahoma"/>
                <w:sz w:val="20"/>
                <w:szCs w:val="20"/>
              </w:rPr>
              <w:t>Sosyal-duygusal becerilerde desteğe ihtiyaç duyan öğrenciler için rehberlik ve danışmanlık hizmetleri.</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9A53E7" w:rsidRPr="009A53E7" w:rsidRDefault="009A53E7" w:rsidP="009A53E7">
            <w:pPr>
              <w:rPr>
                <w:rFonts w:ascii="Tahoma" w:hAnsi="Tahoma" w:cs="Tahoma"/>
                <w:sz w:val="20"/>
                <w:szCs w:val="20"/>
              </w:rPr>
            </w:pPr>
            <w:r w:rsidRPr="009A53E7">
              <w:rPr>
                <w:rFonts w:ascii="Tahoma" w:hAnsi="Tahoma" w:cs="Tahoma"/>
                <w:b/>
                <w:sz w:val="20"/>
                <w:szCs w:val="20"/>
              </w:rPr>
              <w:t>Öğretmen Eğitimleri:</w:t>
            </w:r>
            <w:r w:rsidRPr="009A53E7">
              <w:rPr>
                <w:rFonts w:ascii="Tahoma" w:hAnsi="Tahoma" w:cs="Tahoma"/>
                <w:sz w:val="20"/>
                <w:szCs w:val="20"/>
              </w:rPr>
              <w:t xml:space="preserve"> Öğretmenlerin yeni program</w:t>
            </w:r>
            <w:r w:rsidR="00C20036">
              <w:rPr>
                <w:rFonts w:ascii="Tahoma" w:hAnsi="Tahoma" w:cs="Tahoma"/>
                <w:sz w:val="20"/>
                <w:szCs w:val="20"/>
              </w:rPr>
              <w:t xml:space="preserve"> felsefesini, öğrenme çıktıları</w:t>
            </w:r>
            <w:r w:rsidRPr="009A53E7">
              <w:rPr>
                <w:rFonts w:ascii="Tahoma" w:hAnsi="Tahoma" w:cs="Tahoma"/>
                <w:sz w:val="20"/>
                <w:szCs w:val="20"/>
              </w:rPr>
              <w:t>nı, değerlendirme yöntemlerini ve farklılaştırma stratejilerini etkili bir şekilde uygulayabilmeleri için düzenli ve kapsamlı eğitimler verilmelidir.</w:t>
            </w:r>
          </w:p>
          <w:p w:rsidR="009A53E7" w:rsidRPr="009A53E7" w:rsidRDefault="009A53E7" w:rsidP="009A53E7">
            <w:pPr>
              <w:rPr>
                <w:rFonts w:ascii="Tahoma" w:hAnsi="Tahoma" w:cs="Tahoma"/>
                <w:sz w:val="20"/>
                <w:szCs w:val="20"/>
              </w:rPr>
            </w:pPr>
            <w:r w:rsidRPr="009A53E7">
              <w:rPr>
                <w:rFonts w:ascii="Tahoma" w:hAnsi="Tahoma" w:cs="Tahoma"/>
                <w:b/>
                <w:sz w:val="20"/>
                <w:szCs w:val="20"/>
              </w:rPr>
              <w:t>Materyal Geliştirme:</w:t>
            </w:r>
            <w:r w:rsidRPr="009A53E7">
              <w:rPr>
                <w:rFonts w:ascii="Tahoma" w:hAnsi="Tahoma" w:cs="Tahoma"/>
                <w:sz w:val="20"/>
                <w:szCs w:val="20"/>
              </w:rPr>
              <w:t xml:space="preserve"> Öğrenci merkezli, etkileşimli ve gerçek hayatla bağlantılı öğrenme materyalleri (kitaplar, dijital içerikler, oyunlar) geliştirilmelidir.</w:t>
            </w:r>
          </w:p>
          <w:p w:rsidR="009A53E7" w:rsidRPr="009A53E7" w:rsidRDefault="009A53E7" w:rsidP="009A53E7">
            <w:pPr>
              <w:rPr>
                <w:rFonts w:ascii="Tahoma" w:hAnsi="Tahoma" w:cs="Tahoma"/>
                <w:sz w:val="20"/>
                <w:szCs w:val="20"/>
              </w:rPr>
            </w:pPr>
            <w:r w:rsidRPr="009A53E7">
              <w:rPr>
                <w:rFonts w:ascii="Tahoma" w:hAnsi="Tahoma" w:cs="Tahoma"/>
                <w:b/>
                <w:sz w:val="20"/>
                <w:szCs w:val="20"/>
              </w:rPr>
              <w:t>Okul İklimi:</w:t>
            </w:r>
            <w:r w:rsidRPr="009A53E7">
              <w:rPr>
                <w:rFonts w:ascii="Tahoma" w:hAnsi="Tahoma" w:cs="Tahoma"/>
                <w:sz w:val="20"/>
                <w:szCs w:val="20"/>
              </w:rPr>
              <w:t xml:space="preserve"> Öğrencilerin aktif katılımını, eleştirel düşünmesini ve yaratıcılığını teşvik eden, güvenli ve destekleyici bir okul iklimi oluşturulmalıdır.</w:t>
            </w:r>
          </w:p>
          <w:p w:rsidR="009A53E7" w:rsidRPr="009A53E7" w:rsidRDefault="009A53E7" w:rsidP="009A53E7">
            <w:pPr>
              <w:rPr>
                <w:rFonts w:ascii="Tahoma" w:hAnsi="Tahoma" w:cs="Tahoma"/>
                <w:sz w:val="20"/>
                <w:szCs w:val="20"/>
              </w:rPr>
            </w:pPr>
            <w:r w:rsidRPr="00C20036">
              <w:rPr>
                <w:rFonts w:ascii="Tahoma" w:hAnsi="Tahoma" w:cs="Tahoma"/>
                <w:b/>
                <w:sz w:val="20"/>
                <w:szCs w:val="20"/>
              </w:rPr>
              <w:t>Veli İşbirliği:</w:t>
            </w:r>
            <w:r w:rsidRPr="009A53E7">
              <w:rPr>
                <w:rFonts w:ascii="Tahoma" w:hAnsi="Tahoma" w:cs="Tahoma"/>
                <w:sz w:val="20"/>
                <w:szCs w:val="20"/>
              </w:rPr>
              <w:t xml:space="preserve"> Velilere yeni program hakkında bilgi</w:t>
            </w:r>
            <w:r w:rsidR="00C20036">
              <w:rPr>
                <w:rFonts w:ascii="Tahoma" w:hAnsi="Tahoma" w:cs="Tahoma"/>
                <w:sz w:val="20"/>
                <w:szCs w:val="20"/>
              </w:rPr>
              <w:t>lendirme yapılmalı ve çocukları</w:t>
            </w:r>
            <w:r w:rsidRPr="009A53E7">
              <w:rPr>
                <w:rFonts w:ascii="Tahoma" w:hAnsi="Tahoma" w:cs="Tahoma"/>
                <w:sz w:val="20"/>
                <w:szCs w:val="20"/>
              </w:rPr>
              <w:t>nın öğrenme süreçlerine aktif olarak katılımları sağlanmalıdır.</w:t>
            </w:r>
          </w:p>
          <w:p w:rsidR="003043DE" w:rsidRPr="00D92A09" w:rsidRDefault="009A53E7" w:rsidP="009A53E7">
            <w:pPr>
              <w:rPr>
                <w:rFonts w:ascii="Tahoma" w:hAnsi="Tahoma" w:cs="Tahoma"/>
                <w:sz w:val="20"/>
                <w:szCs w:val="20"/>
              </w:rPr>
            </w:pPr>
            <w:r w:rsidRPr="00C20036">
              <w:rPr>
                <w:rFonts w:ascii="Tahoma" w:hAnsi="Tahoma" w:cs="Tahoma"/>
                <w:b/>
                <w:sz w:val="20"/>
                <w:szCs w:val="20"/>
              </w:rPr>
              <w:t>Sürekli Değerlendirme:</w:t>
            </w:r>
            <w:r w:rsidRPr="009A53E7">
              <w:rPr>
                <w:rFonts w:ascii="Tahoma" w:hAnsi="Tahoma" w:cs="Tahoma"/>
                <w:sz w:val="20"/>
                <w:szCs w:val="20"/>
              </w:rPr>
              <w:t xml:space="preserve"> Programın etkililiğini ve öğrenci gelişimine olan etkisini değerlendirmek için sürekli izleme ve değerlendirme çalışmaları yapılmalı ve gerekli güncellemeler yapılmalıdır.</w:t>
            </w:r>
          </w:p>
        </w:tc>
      </w:tr>
    </w:tbl>
    <w:p w:rsidR="005A2692" w:rsidRDefault="005A2692" w:rsidP="005A2692">
      <w:pPr>
        <w:rPr>
          <w:rFonts w:ascii="Tahoma" w:hAnsi="Tahoma" w:cs="Tahoma"/>
          <w:sz w:val="24"/>
          <w:szCs w:val="24"/>
        </w:rPr>
      </w:pPr>
    </w:p>
    <w:p w:rsidR="00A63861" w:rsidRDefault="00A63861" w:rsidP="005A2692">
      <w:pPr>
        <w:rPr>
          <w:rFonts w:ascii="Tahoma" w:hAnsi="Tahoma" w:cs="Tahoma"/>
          <w:sz w:val="24"/>
          <w:szCs w:val="24"/>
        </w:rPr>
      </w:pPr>
    </w:p>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0A89"/>
    <w:multiLevelType w:val="hybridMultilevel"/>
    <w:tmpl w:val="B4303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67389F"/>
    <w:multiLevelType w:val="hybridMultilevel"/>
    <w:tmpl w:val="C01A1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64D3D"/>
    <w:multiLevelType w:val="hybridMultilevel"/>
    <w:tmpl w:val="DD6AD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816757"/>
    <w:multiLevelType w:val="hybridMultilevel"/>
    <w:tmpl w:val="6A8CD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D8440A"/>
    <w:multiLevelType w:val="hybridMultilevel"/>
    <w:tmpl w:val="C96A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D6CF7"/>
    <w:multiLevelType w:val="hybridMultilevel"/>
    <w:tmpl w:val="0F962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F81153"/>
    <w:multiLevelType w:val="hybridMultilevel"/>
    <w:tmpl w:val="92D0C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16158F"/>
    <w:multiLevelType w:val="hybridMultilevel"/>
    <w:tmpl w:val="9EF6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75070F"/>
    <w:multiLevelType w:val="hybridMultilevel"/>
    <w:tmpl w:val="89AC2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355CC5"/>
    <w:multiLevelType w:val="hybridMultilevel"/>
    <w:tmpl w:val="8DF8D8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7022AB"/>
    <w:multiLevelType w:val="hybridMultilevel"/>
    <w:tmpl w:val="696EF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FE7B4E"/>
    <w:multiLevelType w:val="hybridMultilevel"/>
    <w:tmpl w:val="5C8A8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2D1FBD"/>
    <w:multiLevelType w:val="hybridMultilevel"/>
    <w:tmpl w:val="A9B8A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487248"/>
    <w:multiLevelType w:val="hybridMultilevel"/>
    <w:tmpl w:val="068A29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8B45D5"/>
    <w:multiLevelType w:val="hybridMultilevel"/>
    <w:tmpl w:val="A50AF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DB764CA"/>
    <w:multiLevelType w:val="hybridMultilevel"/>
    <w:tmpl w:val="ED6C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84399F"/>
    <w:multiLevelType w:val="hybridMultilevel"/>
    <w:tmpl w:val="B0D8C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A35932"/>
    <w:multiLevelType w:val="hybridMultilevel"/>
    <w:tmpl w:val="245EA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174C5B"/>
    <w:multiLevelType w:val="hybridMultilevel"/>
    <w:tmpl w:val="9872F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5B44C7"/>
    <w:multiLevelType w:val="hybridMultilevel"/>
    <w:tmpl w:val="9DC8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656667"/>
    <w:multiLevelType w:val="hybridMultilevel"/>
    <w:tmpl w:val="9B408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A82BA0"/>
    <w:multiLevelType w:val="hybridMultilevel"/>
    <w:tmpl w:val="82FA2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E83BED"/>
    <w:multiLevelType w:val="hybridMultilevel"/>
    <w:tmpl w:val="5F06F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33B0E06"/>
    <w:multiLevelType w:val="hybridMultilevel"/>
    <w:tmpl w:val="4300E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75B550C"/>
    <w:multiLevelType w:val="hybridMultilevel"/>
    <w:tmpl w:val="053C1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770725"/>
    <w:multiLevelType w:val="hybridMultilevel"/>
    <w:tmpl w:val="86260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7F20DAA"/>
    <w:multiLevelType w:val="hybridMultilevel"/>
    <w:tmpl w:val="DB46A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6B0DE4"/>
    <w:multiLevelType w:val="hybridMultilevel"/>
    <w:tmpl w:val="42D42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3F0E28"/>
    <w:multiLevelType w:val="hybridMultilevel"/>
    <w:tmpl w:val="7E087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676A75"/>
    <w:multiLevelType w:val="hybridMultilevel"/>
    <w:tmpl w:val="C1DCC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7"/>
  </w:num>
  <w:num w:numId="4">
    <w:abstractNumId w:val="12"/>
  </w:num>
  <w:num w:numId="5">
    <w:abstractNumId w:val="16"/>
  </w:num>
  <w:num w:numId="6">
    <w:abstractNumId w:val="21"/>
  </w:num>
  <w:num w:numId="7">
    <w:abstractNumId w:val="8"/>
  </w:num>
  <w:num w:numId="8">
    <w:abstractNumId w:val="11"/>
  </w:num>
  <w:num w:numId="9">
    <w:abstractNumId w:val="28"/>
  </w:num>
  <w:num w:numId="10">
    <w:abstractNumId w:val="23"/>
  </w:num>
  <w:num w:numId="11">
    <w:abstractNumId w:val="19"/>
  </w:num>
  <w:num w:numId="12">
    <w:abstractNumId w:val="10"/>
  </w:num>
  <w:num w:numId="13">
    <w:abstractNumId w:val="29"/>
  </w:num>
  <w:num w:numId="14">
    <w:abstractNumId w:val="5"/>
  </w:num>
  <w:num w:numId="15">
    <w:abstractNumId w:val="17"/>
  </w:num>
  <w:num w:numId="16">
    <w:abstractNumId w:val="3"/>
  </w:num>
  <w:num w:numId="17">
    <w:abstractNumId w:val="13"/>
  </w:num>
  <w:num w:numId="18">
    <w:abstractNumId w:val="18"/>
  </w:num>
  <w:num w:numId="19">
    <w:abstractNumId w:val="9"/>
  </w:num>
  <w:num w:numId="20">
    <w:abstractNumId w:val="1"/>
  </w:num>
  <w:num w:numId="21">
    <w:abstractNumId w:val="26"/>
  </w:num>
  <w:num w:numId="22">
    <w:abstractNumId w:val="7"/>
  </w:num>
  <w:num w:numId="23">
    <w:abstractNumId w:val="30"/>
  </w:num>
  <w:num w:numId="24">
    <w:abstractNumId w:val="15"/>
  </w:num>
  <w:num w:numId="25">
    <w:abstractNumId w:val="22"/>
  </w:num>
  <w:num w:numId="26">
    <w:abstractNumId w:val="2"/>
  </w:num>
  <w:num w:numId="27">
    <w:abstractNumId w:val="14"/>
  </w:num>
  <w:num w:numId="28">
    <w:abstractNumId w:val="25"/>
  </w:num>
  <w:num w:numId="29">
    <w:abstractNumId w:val="6"/>
  </w:num>
  <w:num w:numId="30">
    <w:abstractNumId w:val="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1704C9"/>
    <w:rsid w:val="001905B0"/>
    <w:rsid w:val="002A1CED"/>
    <w:rsid w:val="003043DE"/>
    <w:rsid w:val="003453A6"/>
    <w:rsid w:val="0040042C"/>
    <w:rsid w:val="00475AC3"/>
    <w:rsid w:val="0055317C"/>
    <w:rsid w:val="0058459F"/>
    <w:rsid w:val="00597EB1"/>
    <w:rsid w:val="005A2692"/>
    <w:rsid w:val="005D1ED4"/>
    <w:rsid w:val="00606C1A"/>
    <w:rsid w:val="006562FA"/>
    <w:rsid w:val="00721380"/>
    <w:rsid w:val="00776FED"/>
    <w:rsid w:val="007A394C"/>
    <w:rsid w:val="007F66F5"/>
    <w:rsid w:val="008536A1"/>
    <w:rsid w:val="008815BF"/>
    <w:rsid w:val="00893DB1"/>
    <w:rsid w:val="009A53E7"/>
    <w:rsid w:val="00A63861"/>
    <w:rsid w:val="00C20036"/>
    <w:rsid w:val="00D1634E"/>
    <w:rsid w:val="00D92A09"/>
    <w:rsid w:val="00EC6344"/>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6147C-A45C-4F57-86D3-7FC5B3E4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1414</Words>
  <Characters>8063</Characters>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2024-06-13T11:42:00Z</dcterms:created>
  <dcterms:modified xsi:type="dcterms:W3CDTF">2024-06-22T10:23:00Z</dcterms:modified>
</cp:coreProperties>
</file>