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B0" w:rsidRDefault="001905B0" w:rsidP="001905B0">
      <w:pPr>
        <w:widowControl w:val="0"/>
        <w:autoSpaceDE w:val="0"/>
        <w:autoSpaceDN w:val="0"/>
        <w:spacing w:after="0" w:line="266" w:lineRule="exact"/>
        <w:rPr>
          <w:rFonts w:ascii="Tahoma" w:hAnsi="Tahoma" w:cs="Tahoma"/>
          <w:b/>
        </w:rPr>
      </w:pPr>
      <w:r w:rsidRPr="001905B0">
        <w:rPr>
          <w:rFonts w:ascii="Tahoma" w:hAnsi="Tahoma" w:cs="Tahoma"/>
          <w:b/>
        </w:rPr>
        <w:t>TÜRKİYE YÜZYILI MAARİF MODELİ ÖĞRETİM PROGRAMI İNCELEME FORMU EK-2</w:t>
      </w:r>
    </w:p>
    <w:p w:rsidR="001905B0" w:rsidRPr="001905B0" w:rsidRDefault="001905B0" w:rsidP="001905B0">
      <w:pPr>
        <w:widowControl w:val="0"/>
        <w:autoSpaceDE w:val="0"/>
        <w:autoSpaceDN w:val="0"/>
        <w:spacing w:after="0" w:line="266" w:lineRule="exact"/>
        <w:rPr>
          <w:rFonts w:ascii="MFQSJS+TimesNewRomanPSMT"/>
          <w:color w:val="000000"/>
          <w:sz w:val="24"/>
        </w:rPr>
      </w:pPr>
    </w:p>
    <w:p w:rsidR="001905B0" w:rsidRPr="001905B0" w:rsidRDefault="001905B0" w:rsidP="00134683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after="0" w:line="266" w:lineRule="exact"/>
        <w:rPr>
          <w:rFonts w:ascii="MFQSJS+TimesNewRomanPSMT"/>
          <w:color w:val="000000"/>
          <w:sz w:val="24"/>
        </w:rPr>
      </w:pPr>
      <w:r w:rsidRPr="001905B0">
        <w:rPr>
          <w:rFonts w:ascii="MFQSJS+TimesNewRomanPSMT"/>
          <w:color w:val="000000"/>
          <w:spacing w:val="-2"/>
          <w:sz w:val="24"/>
        </w:rPr>
        <w:t>Bu</w:t>
      </w:r>
      <w:r w:rsidRPr="001905B0">
        <w:rPr>
          <w:rFonts w:ascii="MFQSJS+TimesNewRomanPSMT"/>
          <w:color w:val="000000"/>
          <w:spacing w:val="6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form,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Türkiye</w:t>
      </w:r>
      <w:r w:rsidRPr="001905B0">
        <w:rPr>
          <w:rFonts w:ascii="MFQSJS+TimesNewRomanPSMT"/>
          <w:color w:val="000000"/>
          <w:spacing w:val="6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pacing w:val="1"/>
          <w:sz w:val="24"/>
        </w:rPr>
        <w:t>Yüzyılı</w:t>
      </w:r>
      <w:r w:rsidRPr="001905B0">
        <w:rPr>
          <w:rFonts w:ascii="MFQSJS+TimesNewRomanPSMT"/>
          <w:color w:val="000000"/>
          <w:spacing w:val="6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Maarif</w:t>
      </w:r>
      <w:r w:rsidRPr="001905B0">
        <w:rPr>
          <w:rFonts w:ascii="MFQSJS+TimesNewRomanPSMT"/>
          <w:color w:val="000000"/>
          <w:spacing w:val="6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Modeli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kapsamında</w:t>
      </w:r>
      <w:r w:rsidRPr="001905B0">
        <w:rPr>
          <w:rFonts w:ascii="MFQSJS+TimesNewRomanPSMT"/>
          <w:color w:val="000000"/>
          <w:spacing w:val="6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öğretim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programı</w:t>
      </w:r>
      <w:r w:rsidRPr="001905B0">
        <w:rPr>
          <w:rFonts w:ascii="MFQSJS+TimesNewRomanPSMT"/>
          <w:color w:val="000000"/>
          <w:spacing w:val="62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pacing w:val="-1"/>
          <w:sz w:val="24"/>
        </w:rPr>
        <w:t>değişen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/>
          <w:color w:val="000000"/>
          <w:spacing w:val="1"/>
          <w:sz w:val="24"/>
        </w:rPr>
        <w:t>her</w:t>
      </w:r>
      <w:r w:rsidRPr="001905B0">
        <w:rPr>
          <w:rFonts w:ascii="MFQSJS+TimesNewRomanPSMT"/>
          <w:color w:val="000000"/>
          <w:spacing w:val="6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bir</w:t>
      </w:r>
      <w:r w:rsidRPr="001905B0">
        <w:rPr>
          <w:rFonts w:ascii="MFQSJS+TimesNewRomanPSMT"/>
          <w:color w:val="000000"/>
          <w:spacing w:val="6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alanın değerlendirilmesi</w:t>
      </w:r>
      <w:r w:rsidRPr="001905B0">
        <w:rPr>
          <w:rFonts w:ascii="MFQSJS+TimesNewRomanPSMT"/>
          <w:color w:val="000000"/>
          <w:spacing w:val="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için</w:t>
      </w:r>
      <w:r w:rsidRPr="001905B0">
        <w:rPr>
          <w:rFonts w:ascii="MFQSJS+TimesNewRomanPSMT"/>
          <w:color w:val="00000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tasarlanmıştır.</w:t>
      </w:r>
    </w:p>
    <w:p w:rsidR="001905B0" w:rsidRPr="001905B0" w:rsidRDefault="001905B0" w:rsidP="00134683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before="49" w:after="0" w:line="266" w:lineRule="exact"/>
        <w:rPr>
          <w:rFonts w:ascii="MFQSJS+TimesNewRomanPSMT"/>
          <w:color w:val="000000"/>
          <w:sz w:val="24"/>
        </w:rPr>
      </w:pPr>
      <w:r w:rsidRPr="001905B0">
        <w:rPr>
          <w:rFonts w:ascii="MFQSJS+TimesNewRomanPSMT"/>
          <w:color w:val="000000"/>
          <w:spacing w:val="-2"/>
          <w:sz w:val="24"/>
        </w:rPr>
        <w:t>Bu</w:t>
      </w:r>
      <w:r w:rsidRPr="001905B0">
        <w:rPr>
          <w:rFonts w:ascii="MFQSJS+TimesNewRomanPSMT"/>
          <w:color w:val="000000"/>
          <w:spacing w:val="26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form,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Türkiye</w:t>
      </w:r>
      <w:r w:rsidRPr="001905B0">
        <w:rPr>
          <w:rFonts w:ascii="MFQSJS+TimesNewRomanPSMT"/>
          <w:color w:val="000000"/>
          <w:spacing w:val="26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Yüzyılı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Maarif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Modeli</w:t>
      </w:r>
      <w:r w:rsidRPr="001905B0">
        <w:rPr>
          <w:rFonts w:ascii="MFQSJS+TimesNewRomanPSMT"/>
          <w:color w:val="000000"/>
          <w:spacing w:val="25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kapsamında</w:t>
      </w:r>
      <w:r w:rsidRPr="001905B0">
        <w:rPr>
          <w:rFonts w:ascii="MFQSJS+TimesNewRomanPSMT"/>
          <w:color w:val="000000"/>
          <w:spacing w:val="2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öğretim</w:t>
      </w:r>
      <w:r w:rsidRPr="001905B0">
        <w:rPr>
          <w:rFonts w:ascii="MFQSJS+TimesNewRomanPSMT"/>
          <w:color w:val="000000"/>
          <w:spacing w:val="25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programı</w:t>
      </w:r>
      <w:r w:rsidRPr="001905B0">
        <w:rPr>
          <w:rFonts w:ascii="MFQSJS+TimesNewRomanPSMT"/>
          <w:color w:val="000000"/>
          <w:spacing w:val="27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değişen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her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bir</w:t>
      </w:r>
      <w:r w:rsidRPr="001905B0">
        <w:rPr>
          <w:rFonts w:ascii="MFQSJS+TimesNewRomanPSMT"/>
          <w:color w:val="000000"/>
          <w:spacing w:val="25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alan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pacing w:val="1"/>
          <w:sz w:val="24"/>
        </w:rPr>
        <w:t>için</w:t>
      </w:r>
      <w:r w:rsidRPr="001905B0">
        <w:rPr>
          <w:rFonts w:ascii="MFQSJS+TimesNewRomanPSMT"/>
          <w:color w:val="000000"/>
          <w:spacing w:val="23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 xml:space="preserve">o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alanın</w:t>
      </w:r>
      <w:r w:rsidRPr="001905B0">
        <w:rPr>
          <w:rFonts w:ascii="MFQSJS+TimesNewRomanPSMT"/>
          <w:color w:val="00000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zümre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öğretmenleri</w:t>
      </w:r>
      <w:r w:rsidRPr="001905B0">
        <w:rPr>
          <w:rFonts w:ascii="MFQSJS+TimesNewRomanPSMT"/>
          <w:color w:val="000000"/>
          <w:spacing w:val="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tarafından</w:t>
      </w:r>
      <w:r w:rsidRPr="001905B0">
        <w:rPr>
          <w:rFonts w:ascii="MFQSJS+TimesNewRomanPSMT"/>
          <w:color w:val="00000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doldurulacaktır.</w:t>
      </w:r>
    </w:p>
    <w:p w:rsidR="001905B0" w:rsidRPr="001905B0" w:rsidRDefault="001905B0" w:rsidP="00134683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before="51" w:after="0" w:line="266" w:lineRule="exact"/>
        <w:rPr>
          <w:rFonts w:ascii="MFQSJS+TimesNewRomanPSMT"/>
          <w:color w:val="000000"/>
          <w:sz w:val="24"/>
        </w:rPr>
      </w:pPr>
      <w:r w:rsidRPr="001905B0">
        <w:rPr>
          <w:rFonts w:ascii="MFQSJS+TimesNewRomanPSMT"/>
          <w:color w:val="000000"/>
          <w:sz w:val="24"/>
        </w:rPr>
        <w:t>Formda</w:t>
      </w:r>
      <w:r w:rsidRPr="001905B0">
        <w:rPr>
          <w:rFonts w:ascii="MFQSJS+TimesNewRomanPSMT"/>
          <w:color w:val="000000"/>
          <w:spacing w:val="35"/>
          <w:sz w:val="24"/>
        </w:rPr>
        <w:t xml:space="preserve"> </w:t>
      </w:r>
      <w:r w:rsidRPr="001905B0">
        <w:rPr>
          <w:rFonts w:ascii="MFQSJS+TimesNewRomanPSMT"/>
          <w:color w:val="000000"/>
          <w:spacing w:val="-2"/>
          <w:sz w:val="24"/>
        </w:rPr>
        <w:t>yer</w:t>
      </w:r>
      <w:r w:rsidRPr="001905B0">
        <w:rPr>
          <w:rFonts w:ascii="MFQSJS+TimesNewRomanPSMT"/>
          <w:color w:val="000000"/>
          <w:spacing w:val="35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alan</w:t>
      </w:r>
      <w:r w:rsidRPr="001905B0">
        <w:rPr>
          <w:rFonts w:ascii="MFQSJS+TimesNewRomanPSMT"/>
          <w:color w:val="000000"/>
          <w:spacing w:val="32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değerlendirmeler,</w:t>
      </w:r>
      <w:r w:rsidRPr="001905B0">
        <w:rPr>
          <w:rFonts w:ascii="MFQSJS+TimesNewRomanPSMT"/>
          <w:color w:val="000000"/>
          <w:spacing w:val="3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28</w:t>
      </w:r>
      <w:r w:rsidRPr="001905B0">
        <w:rPr>
          <w:rFonts w:ascii="MFQSJS+TimesNewRomanPSMT"/>
          <w:color w:val="000000"/>
          <w:spacing w:val="3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Haziran</w:t>
      </w:r>
      <w:r w:rsidRPr="001905B0">
        <w:rPr>
          <w:rFonts w:ascii="MFQSJS+TimesNewRomanPSMT"/>
          <w:color w:val="000000"/>
          <w:spacing w:val="31"/>
          <w:sz w:val="24"/>
        </w:rPr>
        <w:t xml:space="preserve"> </w:t>
      </w:r>
      <w:r w:rsidRPr="001905B0">
        <w:rPr>
          <w:rFonts w:ascii="MFQSJS+TimesNewRomanPSMT"/>
          <w:color w:val="000000"/>
          <w:spacing w:val="1"/>
          <w:sz w:val="24"/>
        </w:rPr>
        <w:t>2024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tarihi</w:t>
      </w:r>
      <w:r w:rsidRPr="001905B0">
        <w:rPr>
          <w:rFonts w:ascii="MFQSJS+TimesNewRomanPSMT"/>
          <w:color w:val="000000"/>
          <w:spacing w:val="3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mesai</w:t>
      </w:r>
      <w:r w:rsidRPr="001905B0">
        <w:rPr>
          <w:rFonts w:ascii="MFQSJS+TimesNewRomanPSMT"/>
          <w:color w:val="000000"/>
          <w:spacing w:val="3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bitimine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kadar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zümre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 xml:space="preserve">başkanının </w:t>
      </w:r>
      <w:r w:rsidRPr="001905B0">
        <w:rPr>
          <w:rFonts w:ascii="MFQSJS+TimesNewRomanPSMT"/>
          <w:color w:val="000000"/>
          <w:sz w:val="24"/>
        </w:rPr>
        <w:t>koordinesinde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veri.meb.gov.tr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adresine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işlenecektir.</w:t>
      </w:r>
    </w:p>
    <w:p w:rsidR="005A2692" w:rsidRDefault="005A2692" w:rsidP="005A2692">
      <w:pPr>
        <w:rPr>
          <w:rFonts w:ascii="Tahoma" w:hAnsi="Tahoma" w:cs="Tahoma"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674"/>
        <w:gridCol w:w="2909"/>
        <w:gridCol w:w="6051"/>
      </w:tblGrid>
      <w:tr w:rsidR="005A2692" w:rsidTr="002A1CED">
        <w:trPr>
          <w:trHeight w:val="659"/>
        </w:trPr>
        <w:tc>
          <w:tcPr>
            <w:tcW w:w="9634" w:type="dxa"/>
            <w:gridSpan w:val="3"/>
            <w:vAlign w:val="center"/>
          </w:tcPr>
          <w:p w:rsidR="005A2692" w:rsidRDefault="001905B0" w:rsidP="005A26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905B0">
              <w:rPr>
                <w:rFonts w:ascii="Tahoma" w:hAnsi="Tahoma" w:cs="Tahoma"/>
                <w:sz w:val="24"/>
                <w:szCs w:val="24"/>
              </w:rPr>
              <w:t>TÜRKİYE YÜZYILI MAARİF MODELİ ÖĞRETİM PROGRAMI İNCELEME FORMU</w:t>
            </w:r>
          </w:p>
        </w:tc>
      </w:tr>
      <w:tr w:rsidR="001905B0" w:rsidTr="002A1CED">
        <w:trPr>
          <w:trHeight w:val="659"/>
        </w:trPr>
        <w:tc>
          <w:tcPr>
            <w:tcW w:w="3583" w:type="dxa"/>
            <w:gridSpan w:val="2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Zümre Adı</w:t>
            </w:r>
          </w:p>
        </w:tc>
        <w:tc>
          <w:tcPr>
            <w:tcW w:w="6051" w:type="dxa"/>
            <w:vAlign w:val="center"/>
          </w:tcPr>
          <w:p w:rsidR="001905B0" w:rsidRPr="001905B0" w:rsidRDefault="00566B09" w:rsidP="00AD3E8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Lise</w:t>
            </w:r>
            <w:r w:rsidR="001905B0" w:rsidRPr="001905B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AD3E8C">
              <w:rPr>
                <w:rFonts w:ascii="Tahoma" w:hAnsi="Tahoma" w:cs="Tahoma"/>
                <w:b/>
                <w:sz w:val="24"/>
                <w:szCs w:val="24"/>
              </w:rPr>
              <w:t>Temel Dini Bilgiler</w:t>
            </w:r>
            <w:r w:rsidR="004C42ED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1905B0" w:rsidRPr="001905B0">
              <w:rPr>
                <w:rFonts w:ascii="Tahoma" w:hAnsi="Tahoma" w:cs="Tahoma"/>
                <w:b/>
                <w:sz w:val="24"/>
                <w:szCs w:val="24"/>
              </w:rPr>
              <w:t>Zümresi</w:t>
            </w:r>
          </w:p>
        </w:tc>
      </w:tr>
      <w:tr w:rsidR="005A2692" w:rsidTr="002A1CED">
        <w:trPr>
          <w:trHeight w:val="894"/>
        </w:trPr>
        <w:tc>
          <w:tcPr>
            <w:tcW w:w="3583" w:type="dxa"/>
            <w:gridSpan w:val="2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</w:rPr>
            </w:pPr>
            <w:r w:rsidRPr="001905B0">
              <w:rPr>
                <w:rFonts w:ascii="Tahoma" w:hAnsi="Tahoma" w:cs="Tahoma"/>
              </w:rPr>
              <w:t>Zümrede Yer Alan Öğretmen</w:t>
            </w:r>
          </w:p>
          <w:p w:rsidR="001905B0" w:rsidRPr="001905B0" w:rsidRDefault="001905B0" w:rsidP="001905B0">
            <w:pPr>
              <w:rPr>
                <w:rFonts w:ascii="Tahoma" w:hAnsi="Tahoma" w:cs="Tahoma"/>
              </w:rPr>
            </w:pPr>
            <w:r w:rsidRPr="001905B0">
              <w:rPr>
                <w:rFonts w:ascii="Tahoma" w:hAnsi="Tahoma" w:cs="Tahoma"/>
              </w:rPr>
              <w:t>Bilgileri (T.C. Kimlik Numarası,</w:t>
            </w:r>
          </w:p>
          <w:p w:rsidR="005A2692" w:rsidRDefault="001905B0" w:rsidP="001905B0">
            <w:pPr>
              <w:rPr>
                <w:rFonts w:ascii="Tahoma" w:hAnsi="Tahoma" w:cs="Tahoma"/>
                <w:sz w:val="24"/>
                <w:szCs w:val="24"/>
              </w:rPr>
            </w:pPr>
            <w:r w:rsidRPr="001905B0">
              <w:rPr>
                <w:rFonts w:ascii="Tahoma" w:hAnsi="Tahoma" w:cs="Tahoma"/>
              </w:rPr>
              <w:t>Adı, Soyadı, Branşı)</w:t>
            </w:r>
          </w:p>
        </w:tc>
        <w:tc>
          <w:tcPr>
            <w:tcW w:w="6051" w:type="dxa"/>
            <w:vAlign w:val="center"/>
          </w:tcPr>
          <w:p w:rsidR="005A2692" w:rsidRDefault="005A2692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A2692" w:rsidTr="002A1CED">
        <w:trPr>
          <w:trHeight w:val="577"/>
        </w:trPr>
        <w:tc>
          <w:tcPr>
            <w:tcW w:w="9634" w:type="dxa"/>
            <w:gridSpan w:val="3"/>
            <w:vAlign w:val="center"/>
          </w:tcPr>
          <w:p w:rsidR="005A2692" w:rsidRPr="005A2692" w:rsidRDefault="001905B0" w:rsidP="005A2692">
            <w:pPr>
              <w:jc w:val="center"/>
              <w:rPr>
                <w:rFonts w:ascii="Tahoma" w:hAnsi="Tahoma" w:cs="Tahoma"/>
              </w:rPr>
            </w:pPr>
            <w:r w:rsidRPr="001905B0">
              <w:rPr>
                <w:rFonts w:ascii="Tahoma" w:hAnsi="Tahoma" w:cs="Tahoma"/>
              </w:rPr>
              <w:t>TÜRKİYE YÜZYILI MAARİF MODELİ ÖĞRETİM PROGRAMINA İLİŞKİN BÖLÜMLER</w:t>
            </w:r>
          </w:p>
        </w:tc>
      </w:tr>
      <w:tr w:rsidR="005A2692" w:rsidTr="002A1CED">
        <w:trPr>
          <w:trHeight w:val="983"/>
        </w:trPr>
        <w:tc>
          <w:tcPr>
            <w:tcW w:w="674" w:type="dxa"/>
            <w:vMerge w:val="restart"/>
            <w:vAlign w:val="center"/>
          </w:tcPr>
          <w:p w:rsidR="005A2692" w:rsidRPr="00776FED" w:rsidRDefault="005A2692" w:rsidP="005A269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76FED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2909" w:type="dxa"/>
            <w:vAlign w:val="center"/>
          </w:tcPr>
          <w:p w:rsidR="005A2692" w:rsidRPr="00776FED" w:rsidRDefault="005A2692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76FED">
              <w:rPr>
                <w:rFonts w:ascii="Tahoma" w:hAnsi="Tahoma" w:cs="Tahoma"/>
                <w:b/>
                <w:sz w:val="20"/>
                <w:szCs w:val="20"/>
              </w:rPr>
              <w:t>Öğretim Programlarının</w:t>
            </w:r>
          </w:p>
          <w:p w:rsidR="005A2692" w:rsidRDefault="001905B0" w:rsidP="005A269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Felsefesi</w:t>
            </w:r>
          </w:p>
        </w:tc>
        <w:tc>
          <w:tcPr>
            <w:tcW w:w="6051" w:type="dxa"/>
            <w:vAlign w:val="center"/>
          </w:tcPr>
          <w:p w:rsidR="005A2692" w:rsidRPr="005A2692" w:rsidRDefault="001905B0" w:rsidP="005A2692">
            <w:pPr>
              <w:rPr>
                <w:rFonts w:ascii="Tahoma" w:hAnsi="Tahoma" w:cs="Tahoma"/>
                <w:sz w:val="20"/>
                <w:szCs w:val="20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Öğretim programının felsefesinde önemli gördüğünüz hususlar nelerdir? Lütfen özet hâlinde belirtiniz.</w:t>
            </w:r>
          </w:p>
        </w:tc>
      </w:tr>
      <w:tr w:rsidR="005A2692" w:rsidTr="002A1CED">
        <w:trPr>
          <w:trHeight w:val="1691"/>
        </w:trPr>
        <w:tc>
          <w:tcPr>
            <w:tcW w:w="674" w:type="dxa"/>
            <w:vMerge/>
            <w:vAlign w:val="center"/>
          </w:tcPr>
          <w:p w:rsidR="005A2692" w:rsidRDefault="005A2692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AD3E8C" w:rsidRPr="00AD3E8C" w:rsidRDefault="00AD3E8C" w:rsidP="00AD3E8C">
            <w:pPr>
              <w:rPr>
                <w:rFonts w:ascii="Tahoma" w:hAnsi="Tahoma" w:cs="Tahoma"/>
                <w:sz w:val="20"/>
                <w:szCs w:val="20"/>
              </w:rPr>
            </w:pPr>
            <w:r w:rsidRPr="00AD3E8C">
              <w:rPr>
                <w:rFonts w:ascii="Tahoma" w:hAnsi="Tahoma" w:cs="Tahoma"/>
                <w:sz w:val="20"/>
                <w:szCs w:val="20"/>
              </w:rPr>
              <w:t>Yeni programın felsefesi, Türkiye Yüzyılı Maarif Modeli Beceriler Çerçevesi üzerine kuruludur. Beceriler, değerler ve eğilimler bütüncül bir şekilde ele alınarak erdemli bireyler yetiştirmek hedeflenmektedir.</w:t>
            </w:r>
          </w:p>
          <w:p w:rsidR="00AD3E8C" w:rsidRPr="00134683" w:rsidRDefault="00AD3E8C" w:rsidP="00134683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Beceriler: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Programda kavramsal beceriler, sosyal-duygusal öğrenme becerileri, eğilimler ve alan becerileri öne çıkmaktadır.</w:t>
            </w:r>
          </w:p>
          <w:p w:rsidR="00AD3E8C" w:rsidRPr="00134683" w:rsidRDefault="00AD3E8C" w:rsidP="00134683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Değerler: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Adalet, sorumluluk ve saygı temel değerler olarak benimsenmiş; bunlara ek olarak sevgi, dostluk, dürüstlük, vatanseverlik, yardımseverlik, tasarruf, sabır, temizlik, duyarlılık ve estetik gibi değerler de vurgulanmaktadır.</w:t>
            </w:r>
          </w:p>
          <w:p w:rsidR="00AD3E8C" w:rsidRPr="00134683" w:rsidRDefault="00AD3E8C" w:rsidP="00134683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Öğrenci Merkezlilik: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Öğrencinin aktif katılımını, araştırma yapmasını, keşfetmesini ve çözüm önerilerini paylaşmasını destekleyen bir öğrenme ortamı hedeflenmektedir.</w:t>
            </w:r>
          </w:p>
          <w:p w:rsidR="00AD3E8C" w:rsidRPr="00134683" w:rsidRDefault="00AD3E8C" w:rsidP="00134683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Anlamlı Öğrenme: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Gelişim düzeyine uygun, ön bilgileri harekete geçiren ve öğrenmeyi kalıcı kılan bir yaklaşım benimsenmiştir.</w:t>
            </w:r>
          </w:p>
          <w:p w:rsidR="00BB5468" w:rsidRPr="00134683" w:rsidRDefault="00AD3E8C" w:rsidP="00134683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Bütüncül Eğitim: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Öğrencilerin akademik, sosyal, duygusal ve manevi yönlerini bir bütün olarak geliştirmeye odaklanılmaktadır.</w:t>
            </w:r>
          </w:p>
        </w:tc>
      </w:tr>
      <w:tr w:rsidR="0040042C" w:rsidTr="002A1CED">
        <w:tc>
          <w:tcPr>
            <w:tcW w:w="674" w:type="dxa"/>
            <w:vMerge w:val="restart"/>
            <w:vAlign w:val="center"/>
          </w:tcPr>
          <w:p w:rsidR="0040042C" w:rsidRPr="00776FED" w:rsidRDefault="0040042C" w:rsidP="0040042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76FED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2909" w:type="dxa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>Ünite/Tema/Öğrenme</w:t>
            </w:r>
          </w:p>
          <w:p w:rsidR="0040042C" w:rsidRPr="00776FED" w:rsidRDefault="001905B0" w:rsidP="001905B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>Alanı</w:t>
            </w:r>
          </w:p>
        </w:tc>
        <w:tc>
          <w:tcPr>
            <w:tcW w:w="6051" w:type="dxa"/>
            <w:vAlign w:val="center"/>
          </w:tcPr>
          <w:p w:rsidR="0040042C" w:rsidRDefault="001905B0" w:rsidP="001905B0">
            <w:pPr>
              <w:rPr>
                <w:rFonts w:ascii="Tahoma" w:hAnsi="Tahoma" w:cs="Tahoma"/>
                <w:sz w:val="24"/>
                <w:szCs w:val="24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Ünite/Tema/Öğrenme alanlarının sıralamasının uygunluğunu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905B0">
              <w:rPr>
                <w:rFonts w:ascii="Tahoma" w:hAnsi="Tahoma" w:cs="Tahoma"/>
                <w:sz w:val="20"/>
                <w:szCs w:val="20"/>
              </w:rPr>
              <w:t>değerlendiriniz. Bir önceki programa göre temel farklılıkları özet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905B0">
              <w:rPr>
                <w:rFonts w:ascii="Tahoma" w:hAnsi="Tahoma" w:cs="Tahoma"/>
                <w:sz w:val="20"/>
                <w:szCs w:val="20"/>
              </w:rPr>
              <w:t>hâlinde belirtiniz.</w:t>
            </w:r>
          </w:p>
        </w:tc>
      </w:tr>
      <w:tr w:rsidR="0040042C" w:rsidTr="002A1CED">
        <w:trPr>
          <w:trHeight w:val="961"/>
        </w:trPr>
        <w:tc>
          <w:tcPr>
            <w:tcW w:w="674" w:type="dxa"/>
            <w:vMerge/>
            <w:vAlign w:val="center"/>
          </w:tcPr>
          <w:p w:rsidR="0040042C" w:rsidRDefault="0040042C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134683" w:rsidRPr="00134683" w:rsidRDefault="00134683" w:rsidP="00134683">
            <w:p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>Yeni programda ünite sıralaması, öğrencilerin önce kendilerini ve çevrelerini anlamaları, ardından iman esaslarına ve ibadetlere geçmeleri ve son olarak İslam ahlakını öğrenmeleri prensibine göre düzenlenmiştir:</w:t>
            </w:r>
          </w:p>
          <w:p w:rsidR="00134683" w:rsidRPr="00134683" w:rsidRDefault="00134683" w:rsidP="0013468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Eski Program: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>İslam ve Sosyal Hayat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>İslam ve Ekonomik Hayat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>İslam ve Hukuk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>Ana Hatlarıyla İslam Ahlakı</w:t>
            </w:r>
          </w:p>
          <w:p w:rsidR="00134683" w:rsidRPr="00134683" w:rsidRDefault="00134683" w:rsidP="0013468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Yeni Program: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>Kendimi, Kâinatı ve Allah’ı Tanıyorum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>Yaratılışın Gayesi: Allah’a İman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>İmanın Meyvesi: İbadetler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>İslam’ın Özü: Güzel Ahlak</w:t>
            </w:r>
          </w:p>
          <w:p w:rsidR="00597EB1" w:rsidRPr="00E559D0" w:rsidRDefault="00134683" w:rsidP="00134683">
            <w:p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lastRenderedPageBreak/>
              <w:t>Yeni program, öğrenmeyi daha anlamlı ve sistematik hâle getirmek için kavramsal bir ilerleme sunmaktadır. Eski programda daha çok bilgi aktarımı öne çıkarken, yeni programda beceri odaklı bir yaklaşım benimsenmiştir.</w:t>
            </w:r>
          </w:p>
        </w:tc>
      </w:tr>
      <w:tr w:rsidR="00FB7606" w:rsidTr="002A1CED">
        <w:trPr>
          <w:trHeight w:val="698"/>
        </w:trPr>
        <w:tc>
          <w:tcPr>
            <w:tcW w:w="674" w:type="dxa"/>
            <w:vMerge w:val="restart"/>
            <w:vAlign w:val="center"/>
          </w:tcPr>
          <w:p w:rsidR="00FB7606" w:rsidRPr="001905B0" w:rsidRDefault="001905B0" w:rsidP="001905B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909" w:type="dxa"/>
            <w:vAlign w:val="center"/>
          </w:tcPr>
          <w:p w:rsidR="00FB7606" w:rsidRPr="0040042C" w:rsidRDefault="001905B0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905B0">
              <w:rPr>
                <w:rFonts w:ascii="Tahoma" w:hAnsi="Tahoma" w:cs="Tahoma"/>
                <w:b/>
                <w:sz w:val="20"/>
                <w:szCs w:val="20"/>
              </w:rPr>
              <w:t>İçerik Çerçevesi</w:t>
            </w:r>
          </w:p>
        </w:tc>
        <w:tc>
          <w:tcPr>
            <w:tcW w:w="6051" w:type="dxa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  <w:sz w:val="20"/>
                <w:szCs w:val="20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Önceki programdan farklı olarak eklenen/kaldırılan içerikler nelerdir?</w:t>
            </w:r>
          </w:p>
          <w:p w:rsidR="00FB7606" w:rsidRPr="0040042C" w:rsidRDefault="001905B0" w:rsidP="001905B0">
            <w:pPr>
              <w:rPr>
                <w:rFonts w:ascii="Tahoma" w:hAnsi="Tahoma" w:cs="Tahoma"/>
                <w:sz w:val="20"/>
                <w:szCs w:val="20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Lütfen başlıklar hâlinde belirtiniz</w:t>
            </w:r>
          </w:p>
        </w:tc>
      </w:tr>
      <w:tr w:rsidR="00FB7606" w:rsidTr="002A1CED">
        <w:trPr>
          <w:trHeight w:val="1059"/>
        </w:trPr>
        <w:tc>
          <w:tcPr>
            <w:tcW w:w="674" w:type="dxa"/>
            <w:vMerge/>
            <w:vAlign w:val="center"/>
          </w:tcPr>
          <w:p w:rsidR="00FB7606" w:rsidRDefault="00FB7606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134683" w:rsidRPr="00134683" w:rsidRDefault="00134683" w:rsidP="0013468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Eklenen İçerikler:</w:t>
            </w:r>
          </w:p>
          <w:p w:rsidR="00134683" w:rsidRPr="00134683" w:rsidRDefault="00134683" w:rsidP="001346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Sosyal-Duygusal Öğrenme Becerileri: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Kendini tanıma, iletişim, sorumlu karar verme gibi beceriler.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Okuryazarlık Becerileri: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Bilgi okuryazarlığı, vatandaşlık okuryazarlığı.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Değerler Eğitimi: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Merak, </w:t>
            </w:r>
            <w:proofErr w:type="gramStart"/>
            <w:r w:rsidRPr="00134683">
              <w:rPr>
                <w:rFonts w:ascii="Tahoma" w:hAnsi="Tahoma" w:cs="Tahoma"/>
                <w:sz w:val="20"/>
                <w:szCs w:val="20"/>
              </w:rPr>
              <w:t>empati</w:t>
            </w:r>
            <w:proofErr w:type="gramEnd"/>
            <w:r w:rsidRPr="00134683">
              <w:rPr>
                <w:rFonts w:ascii="Tahoma" w:hAnsi="Tahoma" w:cs="Tahoma"/>
                <w:sz w:val="20"/>
                <w:szCs w:val="20"/>
              </w:rPr>
              <w:t>, duyarlılık gibi değerler.</w:t>
            </w:r>
          </w:p>
          <w:p w:rsidR="00134683" w:rsidRDefault="00134683" w:rsidP="001346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34683" w:rsidRPr="00134683" w:rsidRDefault="00134683" w:rsidP="0013468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Kaldırılan İçerikler:</w:t>
            </w:r>
          </w:p>
          <w:p w:rsidR="00134683" w:rsidRPr="00134683" w:rsidRDefault="00134683" w:rsidP="001346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453A6" w:rsidRPr="00134683" w:rsidRDefault="00134683" w:rsidP="0013468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Eski programda yer alan “İslam ve Ekonomik Hayat” ve “İslam ve Hukuk” üniteleri yeni programda yer almamaktadır.</w:t>
            </w:r>
          </w:p>
        </w:tc>
      </w:tr>
      <w:tr w:rsidR="00FB7606" w:rsidTr="002A1CED">
        <w:trPr>
          <w:trHeight w:val="624"/>
        </w:trPr>
        <w:tc>
          <w:tcPr>
            <w:tcW w:w="674" w:type="dxa"/>
            <w:vMerge w:val="restart"/>
            <w:vAlign w:val="center"/>
          </w:tcPr>
          <w:p w:rsidR="00FB7606" w:rsidRPr="001905B0" w:rsidRDefault="001905B0" w:rsidP="001905B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2909" w:type="dxa"/>
            <w:vAlign w:val="center"/>
          </w:tcPr>
          <w:p w:rsidR="00FB7606" w:rsidRPr="0040042C" w:rsidRDefault="007A394C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Öğrenme Kanıtları (</w:t>
            </w:r>
            <w:proofErr w:type="gramStart"/>
            <w:r w:rsidRPr="007A394C">
              <w:rPr>
                <w:rFonts w:ascii="Tahoma" w:hAnsi="Tahoma" w:cs="Tahoma"/>
                <w:b/>
                <w:sz w:val="20"/>
                <w:szCs w:val="20"/>
              </w:rPr>
              <w:t>Ölçme  ve</w:t>
            </w:r>
            <w:proofErr w:type="gramEnd"/>
            <w:r w:rsidRPr="007A394C">
              <w:rPr>
                <w:rFonts w:ascii="Tahoma" w:hAnsi="Tahoma" w:cs="Tahoma"/>
                <w:b/>
                <w:sz w:val="20"/>
                <w:szCs w:val="20"/>
              </w:rPr>
              <w:t xml:space="preserve"> Değerlendirme)</w:t>
            </w:r>
          </w:p>
        </w:tc>
        <w:tc>
          <w:tcPr>
            <w:tcW w:w="6051" w:type="dxa"/>
            <w:vAlign w:val="center"/>
          </w:tcPr>
          <w:p w:rsidR="00FB7606" w:rsidRPr="0040042C" w:rsidRDefault="007A394C" w:rsidP="0040042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Ölçme ve değerlendirme alanında önceki program ile Maarif Modeli arasındaki farklılıklar nelerdir? Öğretim programınızdan bir öğrenme çıktısı seçerek ölçme ve değerlendirmenin nasıl uygulandığını tartışarak ortaya çıkan görüşleri lütfen özetleyiniz.</w:t>
            </w:r>
          </w:p>
        </w:tc>
      </w:tr>
      <w:tr w:rsidR="00FB7606" w:rsidTr="002A1CED">
        <w:trPr>
          <w:trHeight w:val="767"/>
        </w:trPr>
        <w:tc>
          <w:tcPr>
            <w:tcW w:w="674" w:type="dxa"/>
            <w:vMerge/>
            <w:vAlign w:val="center"/>
          </w:tcPr>
          <w:p w:rsidR="00FB7606" w:rsidRDefault="00FB7606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134683" w:rsidRDefault="00134683" w:rsidP="00134683">
            <w:p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 xml:space="preserve">Yeni programda ölçme ve değerlendirme, Türkiye Yüzyılı Maarif </w:t>
            </w:r>
            <w:proofErr w:type="spellStart"/>
            <w:r w:rsidRPr="00134683">
              <w:rPr>
                <w:rFonts w:ascii="Tahoma" w:hAnsi="Tahoma" w:cs="Tahoma"/>
                <w:sz w:val="20"/>
                <w:szCs w:val="20"/>
              </w:rPr>
              <w:t>Modeli’nin</w:t>
            </w:r>
            <w:proofErr w:type="spellEnd"/>
            <w:r w:rsidRPr="00134683">
              <w:rPr>
                <w:rFonts w:ascii="Tahoma" w:hAnsi="Tahoma" w:cs="Tahoma"/>
                <w:sz w:val="20"/>
                <w:szCs w:val="20"/>
              </w:rPr>
              <w:t xml:space="preserve"> öğrenci merkezli ve beceri odaklı yaklaşımına uygun olarak yapılandırılmıştır. Öğrenci performansını belirlemek için çeşitli araç ve yöntemler kullanılması önerilmektedir.</w:t>
            </w:r>
          </w:p>
          <w:p w:rsidR="00134683" w:rsidRPr="00134683" w:rsidRDefault="00134683" w:rsidP="001346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34683" w:rsidRPr="00134683" w:rsidRDefault="00134683" w:rsidP="00134683">
            <w:p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Örnek Öğrenme Çıktısı: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TDB.9.3.3. Temel ibadetleri özellikleri ve ilişkileri bakımından sınıflandırabilme</w:t>
            </w:r>
          </w:p>
          <w:p w:rsidR="00134683" w:rsidRDefault="00134683" w:rsidP="0013468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34683" w:rsidRPr="00134683" w:rsidRDefault="00134683" w:rsidP="0013468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Ölçme ve Değerlendirme Uygulamaları: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Kelime İlişkilendirme Testi: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İbadet kavramları ile ilgili kelimeleri eşleştirerek öğrencilerin kavramsal anlamalarını ölçer.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Doğru-Yanlış Soruları: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İbadetlerin özellikleri ve hükümleri hakkında bilgi düzeyini ölçer.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>Kavram Haritası: Öğrencilerin ibadetler arasındaki ilişkileri görselleştirmelerini ve kavramsal bağlantılar kurmalarını sağlar.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Karşılaştırma Tabloları: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İbadetlerin benzerliklerini ve farklılıklarını analiz etme becerisini değerlendirir.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Açık Uçlu Sorular: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İbadetlerin önemi ve faydaları hakkında düşüncelerini ifade etme ve analiz etme yeteneklerini ölçer.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 xml:space="preserve">Yapılandırılmış </w:t>
            </w:r>
            <w:proofErr w:type="spellStart"/>
            <w:r w:rsidRPr="00134683">
              <w:rPr>
                <w:rFonts w:ascii="Tahoma" w:hAnsi="Tahoma" w:cs="Tahoma"/>
                <w:b/>
                <w:sz w:val="20"/>
                <w:szCs w:val="20"/>
              </w:rPr>
              <w:t>Grid</w:t>
            </w:r>
            <w:proofErr w:type="spellEnd"/>
            <w:r w:rsidRPr="00134683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İbadetlerin farz, vacip ve sünnet hükümlerini sınıflandırma becerisini değerlendirir.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3-2-1 Kartı: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İbadetler hakkında öğrendiklerini özetleme ve yansıtma becerilerini ölçer.</w:t>
            </w:r>
          </w:p>
          <w:p w:rsidR="003453A6" w:rsidRPr="00134683" w:rsidRDefault="00134683" w:rsidP="00134683">
            <w:pPr>
              <w:pStyle w:val="ListeParagraf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>Performans Görevi: Öğrencilerin İslam’da temel ibadetlerle ilgili bir konferans için konuşma metni yazmaları istenebilir. Bu görev, öğrencilerin bilgi toplama, sentezleme, analiz etme ve iletişim becerilerini bütüncül bir şekilde değerlendirmek için kullanılabilir.</w:t>
            </w:r>
          </w:p>
        </w:tc>
      </w:tr>
      <w:tr w:rsidR="00FB7606" w:rsidTr="002A1CED">
        <w:tc>
          <w:tcPr>
            <w:tcW w:w="674" w:type="dxa"/>
            <w:vMerge w:val="restart"/>
            <w:vAlign w:val="center"/>
          </w:tcPr>
          <w:p w:rsidR="00FB7606" w:rsidRPr="007A394C" w:rsidRDefault="007A394C" w:rsidP="007A394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2909" w:type="dxa"/>
            <w:vAlign w:val="center"/>
          </w:tcPr>
          <w:p w:rsidR="007A394C" w:rsidRPr="007A394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Öğretme-Öğrenme</w:t>
            </w:r>
          </w:p>
          <w:p w:rsidR="00FB7606" w:rsidRPr="0040042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Yaşantıları</w:t>
            </w:r>
          </w:p>
        </w:tc>
        <w:tc>
          <w:tcPr>
            <w:tcW w:w="6051" w:type="dxa"/>
            <w:vAlign w:val="center"/>
          </w:tcPr>
          <w:p w:rsidR="00FB7606" w:rsidRPr="0040042C" w:rsidRDefault="007A394C" w:rsidP="007A394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Öğretim programınızdan bir ünite/tema/öğrenme alanı seçerek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program bileşenlerinin (erdem-değer-eylem modeli, okuryazarlık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becerileri, sosyal-duygusal öğrenme becerileri) nasıl işlendiğine dair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görüşlerinizi kısaca ifade ediniz.</w:t>
            </w:r>
          </w:p>
        </w:tc>
      </w:tr>
      <w:tr w:rsidR="00FB7606" w:rsidTr="002A1CED">
        <w:trPr>
          <w:trHeight w:val="877"/>
        </w:trPr>
        <w:tc>
          <w:tcPr>
            <w:tcW w:w="674" w:type="dxa"/>
            <w:vMerge/>
            <w:vAlign w:val="center"/>
          </w:tcPr>
          <w:p w:rsidR="00FB7606" w:rsidRDefault="00FB7606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134683" w:rsidRPr="00134683" w:rsidRDefault="00134683" w:rsidP="0013468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(Örnek Ünite: İslam’ın Özü: Güzel Ahlak):</w:t>
            </w:r>
          </w:p>
          <w:p w:rsidR="00134683" w:rsidRDefault="00134683" w:rsidP="0013468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34683" w:rsidRPr="00134683" w:rsidRDefault="00134683" w:rsidP="0013468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Erdem-Değer-Eylem Modeli: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Erdem: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İslam ahlakının insanı erdemli bir birey yapmayı amaçladığı vurgulanır.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Değer: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Dürüstlük, güvenilirlik, merhamet, adalet, cömertlik, iffet, hayâ, </w:t>
            </w:r>
            <w:proofErr w:type="spellStart"/>
            <w:r w:rsidRPr="00134683">
              <w:rPr>
                <w:rFonts w:ascii="Tahoma" w:hAnsi="Tahoma" w:cs="Tahoma"/>
                <w:sz w:val="20"/>
                <w:szCs w:val="20"/>
              </w:rPr>
              <w:t>hüsnüzan</w:t>
            </w:r>
            <w:proofErr w:type="spellEnd"/>
            <w:r w:rsidRPr="00134683">
              <w:rPr>
                <w:rFonts w:ascii="Tahoma" w:hAnsi="Tahoma" w:cs="Tahoma"/>
                <w:sz w:val="20"/>
                <w:szCs w:val="20"/>
              </w:rPr>
              <w:t xml:space="preserve"> gibi değerler işlenir.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Eylem: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Öğrencilerin bu değerleri günlük hayatlarında nasıl uygulayabilecekleri üzerine etkinlikler yapılır.</w:t>
            </w:r>
          </w:p>
          <w:p w:rsidR="00134683" w:rsidRPr="00134683" w:rsidRDefault="00134683" w:rsidP="0013468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Okuryazarlık Becerileri: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Bilgi Okuryazarlığı: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Öğrenciler, İslam ahlakı ile ilgili ayet, hadis ve diğer kaynaklardan bilgi toplar, analiz eder ve değerlendirir.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Vatandaşlık Okuryazarlığı: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Ahlaki değerlerin toplum hayatı ve vatandaşlık sorumlulukları ile ilişkisi ele alınır.</w:t>
            </w:r>
          </w:p>
          <w:p w:rsidR="00134683" w:rsidRPr="00134683" w:rsidRDefault="00134683" w:rsidP="0013468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Sosyal-Duygusal Öğrenme Becerileri: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Kendini Düzenleme: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Öğrenciler, olumsuz davranışlarını kontrol etme ve olumlu davranışlar geliştirme becerilerini kazanırlar.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Sorumlu Karar Verme: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Ahlaki ikilemlerle karşılaştıklarında sorumlu kararlar verme becerisi kazandırılır.</w:t>
            </w:r>
          </w:p>
          <w:p w:rsidR="00FB7606" w:rsidRPr="00134683" w:rsidRDefault="00134683" w:rsidP="00134683">
            <w:pPr>
              <w:pStyle w:val="ListeParagraf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Empati: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Başkalarının duygularını anlama ve onlara saygılı davranma becerisi geliştirilir.</w:t>
            </w:r>
          </w:p>
        </w:tc>
      </w:tr>
      <w:tr w:rsidR="003043DE" w:rsidTr="002A1CED">
        <w:tc>
          <w:tcPr>
            <w:tcW w:w="674" w:type="dxa"/>
            <w:vMerge w:val="restart"/>
            <w:vAlign w:val="center"/>
          </w:tcPr>
          <w:p w:rsidR="003043DE" w:rsidRPr="007A394C" w:rsidRDefault="007A394C" w:rsidP="007A394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909" w:type="dxa"/>
            <w:vAlign w:val="center"/>
          </w:tcPr>
          <w:p w:rsidR="003043DE" w:rsidRPr="00FB7606" w:rsidRDefault="007A394C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Farklılaştırma</w:t>
            </w:r>
          </w:p>
        </w:tc>
        <w:tc>
          <w:tcPr>
            <w:tcW w:w="6051" w:type="dxa"/>
            <w:vAlign w:val="center"/>
          </w:tcPr>
          <w:p w:rsidR="003043DE" w:rsidRPr="00FB7606" w:rsidRDefault="007A394C" w:rsidP="007A394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Farklılaştırma türlerini tartışınız. Dersin işlenişinde zenginleştirme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ve/veya destekleme gerektirecek durumların neler olabileceğini özet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hâlinde belirtiniz.</w:t>
            </w:r>
          </w:p>
        </w:tc>
      </w:tr>
      <w:tr w:rsidR="003043DE" w:rsidTr="002A1CED">
        <w:trPr>
          <w:trHeight w:val="1237"/>
        </w:trPr>
        <w:tc>
          <w:tcPr>
            <w:tcW w:w="674" w:type="dxa"/>
            <w:vMerge/>
            <w:vAlign w:val="center"/>
          </w:tcPr>
          <w:p w:rsidR="003043DE" w:rsidRDefault="003043DE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134683" w:rsidRDefault="00134683" w:rsidP="00134683">
            <w:p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>Programda zenginleştirme ve destekleme olmak üzere iki tür farklılaştırma sunulmaktadır.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Zenginleştirme: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İleri düzeydeki öğrenciler için daha karmaşık ve derinlemesine öğrenme etkinlikleri.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Destekleme: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Öğrenme güçlüğü çeken öğrenciler için sadeleştirilmiş içerik ve ek destek.</w:t>
            </w:r>
          </w:p>
          <w:p w:rsidR="00134683" w:rsidRDefault="00134683" w:rsidP="001346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34683" w:rsidRPr="00134683" w:rsidRDefault="00134683" w:rsidP="0013468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Zenginleştirme Gerektiren Durumlar: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>Konuyu hızlı kavrayan ve daha derinlemesine öğrenmek isteyen öğrenciler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>Araştırma ve proje çalışmalarına ilgi duyan öğrenciler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>Yüksek akademik becerilere sahip öğrenciler</w:t>
            </w:r>
          </w:p>
          <w:p w:rsidR="00134683" w:rsidRDefault="00134683" w:rsidP="0013468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34683" w:rsidRPr="00134683" w:rsidRDefault="00134683" w:rsidP="0013468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Destekleme Gerektiren Durumlar: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>Öğrenme güçlüğü çeken veya ek zamana ihtiyaç duyan öğrenciler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>Konuyu anlamakta zorlanan öğrenciler</w:t>
            </w:r>
          </w:p>
          <w:p w:rsidR="00721380" w:rsidRPr="00134683" w:rsidRDefault="00134683" w:rsidP="00134683">
            <w:pPr>
              <w:pStyle w:val="ListeParagraf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sz w:val="20"/>
                <w:szCs w:val="20"/>
              </w:rPr>
              <w:t>Motivasyon eksikliği yaşayan öğrenciler</w:t>
            </w:r>
          </w:p>
        </w:tc>
      </w:tr>
      <w:tr w:rsidR="003043DE" w:rsidTr="002A1CED">
        <w:tc>
          <w:tcPr>
            <w:tcW w:w="674" w:type="dxa"/>
            <w:vMerge w:val="restart"/>
            <w:vAlign w:val="center"/>
          </w:tcPr>
          <w:p w:rsidR="003043DE" w:rsidRPr="007A394C" w:rsidRDefault="007A394C" w:rsidP="007A394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  <w:tc>
          <w:tcPr>
            <w:tcW w:w="2909" w:type="dxa"/>
            <w:vAlign w:val="center"/>
          </w:tcPr>
          <w:p w:rsidR="007A394C" w:rsidRPr="007A394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Öğretim Programının</w:t>
            </w:r>
          </w:p>
          <w:p w:rsidR="007A394C" w:rsidRPr="007A394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Uygulanmasına İlişkin</w:t>
            </w:r>
          </w:p>
          <w:p w:rsidR="003043DE" w:rsidRDefault="007A394C" w:rsidP="007A394C">
            <w:pPr>
              <w:rPr>
                <w:rFonts w:ascii="Tahoma" w:hAnsi="Tahoma" w:cs="Tahoma"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Açıklamalar</w:t>
            </w:r>
          </w:p>
        </w:tc>
        <w:tc>
          <w:tcPr>
            <w:tcW w:w="6051" w:type="dxa"/>
            <w:vAlign w:val="center"/>
          </w:tcPr>
          <w:p w:rsidR="003043DE" w:rsidRPr="00FB7606" w:rsidRDefault="007A394C" w:rsidP="007A394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Türkiye Yüzyılı Maarif Modeli Programı’nın daha sağlıklı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uygulanabilmesi için önerilerinizi lütfen yazınız.</w:t>
            </w:r>
          </w:p>
        </w:tc>
      </w:tr>
      <w:tr w:rsidR="003043DE" w:rsidTr="002A1CED">
        <w:trPr>
          <w:trHeight w:val="953"/>
        </w:trPr>
        <w:tc>
          <w:tcPr>
            <w:tcW w:w="674" w:type="dxa"/>
            <w:vMerge/>
            <w:vAlign w:val="center"/>
          </w:tcPr>
          <w:p w:rsidR="003043DE" w:rsidRDefault="003043DE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134683" w:rsidRPr="00134683" w:rsidRDefault="00134683" w:rsidP="00134683">
            <w:pPr>
              <w:pStyle w:val="ListeParagraf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Öğretmen Eğitimi: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Öğretmenlerin yeni model ve yöntemler konusunda sürekli eğitilmesi.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Kaynak ve Materyal Desteği: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Okullara gerekli dijital ve basılı materyallerin sağlanması.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Öğrenci Merkezli Yaklaşım: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Öğrencilerin aktif katılımını teşvik eden yöntemlerin yaygınlaştırılması.</w:t>
            </w:r>
          </w:p>
          <w:p w:rsidR="00134683" w:rsidRPr="00134683" w:rsidRDefault="00134683" w:rsidP="00134683">
            <w:pPr>
              <w:pStyle w:val="ListeParagraf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İzleme ve Değerlendirme: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Programın uygulanmasının düzenli olarak izlenmesi ve geri bildirimlerle güncellenmesi.</w:t>
            </w:r>
          </w:p>
          <w:p w:rsidR="003043DE" w:rsidRPr="00134683" w:rsidRDefault="00134683" w:rsidP="00134683">
            <w:pPr>
              <w:pStyle w:val="ListeParagraf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134683">
              <w:rPr>
                <w:rFonts w:ascii="Tahoma" w:hAnsi="Tahoma" w:cs="Tahoma"/>
                <w:b/>
                <w:sz w:val="20"/>
                <w:szCs w:val="20"/>
              </w:rPr>
              <w:t>Çevresel Faktörler:</w:t>
            </w:r>
            <w:r w:rsidRPr="00134683">
              <w:rPr>
                <w:rFonts w:ascii="Tahoma" w:hAnsi="Tahoma" w:cs="Tahoma"/>
                <w:sz w:val="20"/>
                <w:szCs w:val="20"/>
              </w:rPr>
              <w:t xml:space="preserve"> Çevresel imkanların öğrenme sürecine </w:t>
            </w:r>
            <w:proofErr w:type="gramStart"/>
            <w:r w:rsidRPr="00134683">
              <w:rPr>
                <w:rFonts w:ascii="Tahoma" w:hAnsi="Tahoma" w:cs="Tahoma"/>
                <w:sz w:val="20"/>
                <w:szCs w:val="20"/>
              </w:rPr>
              <w:t>entegre</w:t>
            </w:r>
            <w:proofErr w:type="gramEnd"/>
            <w:r w:rsidRPr="00134683">
              <w:rPr>
                <w:rFonts w:ascii="Tahoma" w:hAnsi="Tahoma" w:cs="Tahoma"/>
                <w:sz w:val="20"/>
                <w:szCs w:val="20"/>
              </w:rPr>
              <w:t xml:space="preserve"> edilmesi.</w:t>
            </w:r>
          </w:p>
        </w:tc>
      </w:tr>
    </w:tbl>
    <w:p w:rsidR="00491E38" w:rsidRDefault="00491E38" w:rsidP="005A2692">
      <w:pPr>
        <w:rPr>
          <w:rFonts w:ascii="Tahoma" w:hAnsi="Tahoma" w:cs="Tahoma"/>
          <w:sz w:val="24"/>
          <w:szCs w:val="24"/>
        </w:rPr>
      </w:pPr>
    </w:p>
    <w:p w:rsidR="00A63861" w:rsidRPr="005A2692" w:rsidRDefault="00A63861" w:rsidP="005A2692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A63861" w:rsidRPr="005A2692" w:rsidSect="002A1C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FQSJS+TimesNewRomanPSMT">
    <w:altName w:val="Tahoma"/>
    <w:charset w:val="01"/>
    <w:family w:val="roman"/>
    <w:pitch w:val="variable"/>
    <w:sig w:usb0="00000000" w:usb1="01010101" w:usb2="01010101" w:usb3="01010101" w:csb0="01010101" w:csb1="01010101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973DE"/>
    <w:multiLevelType w:val="hybridMultilevel"/>
    <w:tmpl w:val="DEEE0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0AC6"/>
    <w:multiLevelType w:val="hybridMultilevel"/>
    <w:tmpl w:val="E38059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87861"/>
    <w:multiLevelType w:val="hybridMultilevel"/>
    <w:tmpl w:val="E0608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A2E76"/>
    <w:multiLevelType w:val="hybridMultilevel"/>
    <w:tmpl w:val="68249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549E5"/>
    <w:multiLevelType w:val="hybridMultilevel"/>
    <w:tmpl w:val="4D508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05010"/>
    <w:multiLevelType w:val="hybridMultilevel"/>
    <w:tmpl w:val="56A445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D3157"/>
    <w:multiLevelType w:val="hybridMultilevel"/>
    <w:tmpl w:val="374CA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F3E0E"/>
    <w:multiLevelType w:val="hybridMultilevel"/>
    <w:tmpl w:val="C7FA43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26F15"/>
    <w:multiLevelType w:val="hybridMultilevel"/>
    <w:tmpl w:val="A788A9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03E2E"/>
    <w:multiLevelType w:val="hybridMultilevel"/>
    <w:tmpl w:val="7C0C3F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50067"/>
    <w:multiLevelType w:val="hybridMultilevel"/>
    <w:tmpl w:val="163660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35A94"/>
    <w:multiLevelType w:val="hybridMultilevel"/>
    <w:tmpl w:val="4B16DF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1120F"/>
    <w:multiLevelType w:val="hybridMultilevel"/>
    <w:tmpl w:val="107231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12"/>
  </w:num>
  <w:num w:numId="7">
    <w:abstractNumId w:val="1"/>
  </w:num>
  <w:num w:numId="8">
    <w:abstractNumId w:val="4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92"/>
    <w:rsid w:val="00134683"/>
    <w:rsid w:val="001704C9"/>
    <w:rsid w:val="001905B0"/>
    <w:rsid w:val="002A1CED"/>
    <w:rsid w:val="003043DE"/>
    <w:rsid w:val="003453A6"/>
    <w:rsid w:val="00392D22"/>
    <w:rsid w:val="0040042C"/>
    <w:rsid w:val="00475AC3"/>
    <w:rsid w:val="00491E38"/>
    <w:rsid w:val="004C42ED"/>
    <w:rsid w:val="0055317C"/>
    <w:rsid w:val="00566B09"/>
    <w:rsid w:val="0058459F"/>
    <w:rsid w:val="00597EB1"/>
    <w:rsid w:val="005A2692"/>
    <w:rsid w:val="005D1ED4"/>
    <w:rsid w:val="005E70D9"/>
    <w:rsid w:val="00606C1A"/>
    <w:rsid w:val="006562FA"/>
    <w:rsid w:val="00677D6C"/>
    <w:rsid w:val="00721380"/>
    <w:rsid w:val="00776FED"/>
    <w:rsid w:val="007A394C"/>
    <w:rsid w:val="007F66F5"/>
    <w:rsid w:val="008536A1"/>
    <w:rsid w:val="008815BF"/>
    <w:rsid w:val="00893DB1"/>
    <w:rsid w:val="008F211E"/>
    <w:rsid w:val="009A53E7"/>
    <w:rsid w:val="00A63861"/>
    <w:rsid w:val="00AD3E8C"/>
    <w:rsid w:val="00AF0082"/>
    <w:rsid w:val="00BB5468"/>
    <w:rsid w:val="00BE04CB"/>
    <w:rsid w:val="00C20036"/>
    <w:rsid w:val="00CC5B3F"/>
    <w:rsid w:val="00D1634E"/>
    <w:rsid w:val="00D92A09"/>
    <w:rsid w:val="00E559D0"/>
    <w:rsid w:val="00F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10E7C-1D4F-4042-BC23-713314D8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2692"/>
    <w:pPr>
      <w:ind w:left="720"/>
      <w:contextualSpacing/>
    </w:pPr>
  </w:style>
  <w:style w:type="table" w:styleId="TabloKlavuzu">
    <w:name w:val="Table Grid"/>
    <w:basedOn w:val="NormalTablo"/>
    <w:uiPriority w:val="39"/>
    <w:rsid w:val="005A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951B9-4679-4ED2-B06B-D783967A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1146</Words>
  <Characters>6536</Characters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2024-06-16T20:46:00Z</dcterms:created>
  <dcterms:modified xsi:type="dcterms:W3CDTF">2024-06-22T12:57:00Z</dcterms:modified>
</cp:coreProperties>
</file>